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Speak-Up and Non-Retaliation Policy</w:t>
      </w:r>
    </w:p>
    <w:bookmarkStart w:id="20" w:name="purpose-and-scope"/>
    <w:p>
      <w:pPr>
        <w:pStyle w:val="Heading2"/>
      </w:pPr>
      <w:r>
        <w:t xml:space="preserve">Purpose and scope</w:t>
      </w:r>
    </w:p>
    <w:p>
      <w:pPr>
        <w:pStyle w:val="FirstParagraph"/>
      </w:pPr>
      <w:r>
        <w:t xml:space="preserve">This policy sets out how concerns about wrongdoing at Setti Group can be raised and how the Group will respond. It applies to</w:t>
      </w:r>
      <w:r>
        <w:t xml:space="preserve"> </w:t>
      </w:r>
      <w:r>
        <w:rPr>
          <w:bCs/>
          <w:b/>
        </w:rPr>
        <w:t xml:space="preserve">Setti Group FZC</w:t>
      </w:r>
      <w:r>
        <w:t xml:space="preserve"> </w:t>
      </w:r>
      <w:r>
        <w:t xml:space="preserve">(Sharjah Publishing City Free Zone, UAE) and</w:t>
      </w:r>
      <w:r>
        <w:t xml:space="preserve"> </w:t>
      </w:r>
      <w:r>
        <w:rPr>
          <w:bCs/>
          <w:b/>
        </w:rPr>
        <w:t xml:space="preserve">Setti Group Ltda</w:t>
      </w:r>
      <w:r>
        <w:t xml:space="preserve"> </w:t>
      </w:r>
      <w:r>
        <w:t xml:space="preserve">(CNPJ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Reports may be made by anyone: Personnel of either entity, former Personnel, training delegates, SetFit and Arcas GRC users, clients, suppliers, agents, trading counterparties (including staff of BS Agrícola Ltda) and members of the public. The policy covers any suspected breach of law or of a Group policy, including bribery, fraud, sanctions breaches, conflicts of interest, harassment, discrimination, unsafe working conditions, misuse of personal data (including SetFit health and fitness data) and any attempt to conceal such matters.</w:t>
      </w:r>
    </w:p>
    <w:bookmarkEnd w:id="20"/>
    <w:bookmarkStart w:id="21" w:name="policy-statement"/>
    <w:p>
      <w:pPr>
        <w:pStyle w:val="Heading2"/>
      </w:pPr>
      <w:r>
        <w:t xml:space="preserve">Policy statement</w:t>
      </w:r>
    </w:p>
    <w:p>
      <w:pPr>
        <w:pStyle w:val="FirstParagraph"/>
      </w:pPr>
      <w:r>
        <w:t xml:space="preserve">Setti Group wants to hear about problems early, while they can still be fixed. Anyone who raises a concern in good faith will be listened to, taken seriously and protected. Retaliation against a reporter, in any form, is prohibited and is itself a serious breach that will be disciplined. Reports may be made openly, confidentially or anonymously. Because the Group is small and the Founder &amp; Principal takes most decisions, this policy provides for an independent external reviewer whenever a report concerns him.</w:t>
      </w:r>
    </w:p>
    <w:bookmarkEnd w:id="21"/>
    <w:bookmarkStart w:id="22" w:name="definitions"/>
    <w:p>
      <w:pPr>
        <w:pStyle w:val="Heading2"/>
      </w:pPr>
      <w:r>
        <w:t xml:space="preserve">Definitions</w:t>
      </w:r>
    </w:p>
    <w:p>
      <w:pPr>
        <w:numPr>
          <w:ilvl w:val="0"/>
          <w:numId w:val="1001"/>
        </w:numPr>
        <w:pStyle w:val="Compact"/>
      </w:pPr>
      <w:r>
        <w:rPr>
          <w:bCs/>
          <w:b/>
        </w:rPr>
        <w:t xml:space="preserve">Report</w:t>
      </w:r>
      <w:r>
        <w:t xml:space="preserve"> </w:t>
      </w:r>
      <w:r>
        <w:t xml:space="preserve">or</w:t>
      </w:r>
      <w:r>
        <w:t xml:space="preserve"> </w:t>
      </w:r>
      <w:r>
        <w:rPr>
          <w:bCs/>
          <w:b/>
        </w:rPr>
        <w:t xml:space="preserve">concern</w:t>
      </w:r>
      <w:r>
        <w:t xml:space="preserve">: information about suspected wrongdoing, past, present or planned, that the reporter reasonably believes to be true.</w:t>
      </w:r>
    </w:p>
    <w:p>
      <w:pPr>
        <w:numPr>
          <w:ilvl w:val="0"/>
          <w:numId w:val="1001"/>
        </w:numPr>
        <w:pStyle w:val="Compact"/>
      </w:pPr>
      <w:r>
        <w:rPr>
          <w:bCs/>
          <w:b/>
        </w:rPr>
        <w:t xml:space="preserve">Good faith</w:t>
      </w:r>
      <w:r>
        <w:t xml:space="preserve">: an honest belief that the information reported is true, even if it later proves mistaken. A report made knowingly false is not in good faith.</w:t>
      </w:r>
    </w:p>
    <w:p>
      <w:pPr>
        <w:numPr>
          <w:ilvl w:val="0"/>
          <w:numId w:val="1001"/>
        </w:numPr>
        <w:pStyle w:val="Compact"/>
      </w:pPr>
      <w:r>
        <w:rPr>
          <w:bCs/>
          <w:b/>
        </w:rPr>
        <w:t xml:space="preserve">Reporter</w:t>
      </w:r>
      <w:r>
        <w:t xml:space="preserve">: any person who makes a report under this policy.</w:t>
      </w:r>
    </w:p>
    <w:p>
      <w:pPr>
        <w:numPr>
          <w:ilvl w:val="0"/>
          <w:numId w:val="1001"/>
        </w:numPr>
        <w:pStyle w:val="Compact"/>
      </w:pPr>
      <w:r>
        <w:rPr>
          <w:bCs/>
          <w:b/>
        </w:rPr>
        <w:t xml:space="preserve">Retaliation</w:t>
      </w:r>
      <w:r>
        <w:t xml:space="preserve">: any detrimental act or omission taken because a person made, or is believed to have made or supported, a report: dismissal, demotion, loss of hours or assignments, withholding of pay or commission, threats, harassment, exclusion, negative references, termination of a contract or of platform access, or reporting a person to authorities for an improper purpose.</w:t>
      </w:r>
    </w:p>
    <w:p>
      <w:pPr>
        <w:numPr>
          <w:ilvl w:val="0"/>
          <w:numId w:val="1001"/>
        </w:numPr>
        <w:pStyle w:val="Compact"/>
      </w:pPr>
      <w:r>
        <w:rPr>
          <w:bCs/>
          <w:b/>
        </w:rPr>
        <w:t xml:space="preserve">Independent external reviewer</w:t>
      </w:r>
      <w:r>
        <w:t xml:space="preserve">: a lawyer, auditor or compliance professional with no financial or personal connection to the Founder &amp; Principal, appointed to handle a report in which he is implicated.</w:t>
      </w:r>
    </w:p>
    <w:bookmarkEnd w:id="22"/>
    <w:bookmarkStart w:id="23" w:name="responsibilities"/>
    <w:p>
      <w:pPr>
        <w:pStyle w:val="Heading2"/>
      </w:pPr>
      <w:r>
        <w:t xml:space="preserve">Responsibilities</w:t>
      </w:r>
    </w:p>
    <w:p>
      <w:pPr>
        <w:numPr>
          <w:ilvl w:val="0"/>
          <w:numId w:val="1002"/>
        </w:numPr>
        <w:pStyle w:val="Compact"/>
      </w:pPr>
      <w:r>
        <w:t xml:space="preserve">The</w:t>
      </w:r>
      <w:r>
        <w:t xml:space="preserve"> </w:t>
      </w:r>
      <w:r>
        <w:rPr>
          <w:bCs/>
          <w:b/>
        </w:rPr>
        <w:t xml:space="preserve">Founder &amp; Principal</w:t>
      </w:r>
      <w:r>
        <w:t xml:space="preserve"> </w:t>
      </w:r>
      <w:r>
        <w:t xml:space="preserve">owns this policy, receives and investigates reports, decides on remedial and disciplinary action, protects reporters, and keeps the reports log.</w:t>
      </w:r>
    </w:p>
    <w:p>
      <w:pPr>
        <w:numPr>
          <w:ilvl w:val="0"/>
          <w:numId w:val="1002"/>
        </w:numPr>
        <w:pStyle w:val="Compact"/>
      </w:pPr>
      <w:r>
        <w:t xml:space="preserve">An</w:t>
      </w:r>
      <w:r>
        <w:t xml:space="preserve"> </w:t>
      </w:r>
      <w:r>
        <w:rPr>
          <w:bCs/>
          <w:b/>
        </w:rPr>
        <w:t xml:space="preserve">independent external reviewer</w:t>
      </w:r>
      <w:r>
        <w:t xml:space="preserve"> </w:t>
      </w:r>
      <w:r>
        <w:t xml:space="preserve">receives, investigates and reports on any concern that implicates the Founder &amp; Principal, and may be appointed for other matters where independence is needed.</w:t>
      </w:r>
    </w:p>
    <w:p>
      <w:pPr>
        <w:numPr>
          <w:ilvl w:val="0"/>
          <w:numId w:val="1002"/>
        </w:numPr>
        <w:pStyle w:val="Compact"/>
      </w:pPr>
      <w:r>
        <w:rPr>
          <w:bCs/>
          <w:b/>
        </w:rPr>
        <w:t xml:space="preserve">Personnel</w:t>
      </w:r>
      <w:r>
        <w:t xml:space="preserve"> </w:t>
      </w:r>
      <w:r>
        <w:t xml:space="preserve">must report suspected wrongdoing, cooperate honestly with investigations, keep investigations confidential, and never retaliate.</w:t>
      </w:r>
    </w:p>
    <w:p>
      <w:pPr>
        <w:numPr>
          <w:ilvl w:val="0"/>
          <w:numId w:val="1002"/>
        </w:numPr>
        <w:pStyle w:val="Compact"/>
      </w:pPr>
      <w:r>
        <w:t xml:space="preserve">The</w:t>
      </w:r>
      <w:r>
        <w:t xml:space="preserve"> </w:t>
      </w:r>
      <w:r>
        <w:rPr>
          <w:bCs/>
          <w:b/>
        </w:rPr>
        <w:t xml:space="preserve">compliance contact</w:t>
      </w:r>
      <w:r>
        <w:t xml:space="preserve"> </w:t>
      </w:r>
      <w:r>
        <w:t xml:space="preserve">(compliance@settigroup.com) answers general questions about this policy.</w:t>
      </w:r>
    </w:p>
    <w:bookmarkEnd w:id="23"/>
    <w:bookmarkStart w:id="24" w:name="requirements"/>
    <w:p>
      <w:pPr>
        <w:pStyle w:val="Heading2"/>
      </w:pPr>
      <w:r>
        <w:t xml:space="preserve">Requirements</w:t>
      </w:r>
    </w:p>
    <w:p>
      <w:pPr>
        <w:numPr>
          <w:ilvl w:val="0"/>
          <w:numId w:val="1003"/>
        </w:numPr>
        <w:pStyle w:val="Compact"/>
      </w:pPr>
      <w:r>
        <w:rPr>
          <w:bCs/>
          <w:b/>
        </w:rPr>
        <w:t xml:space="preserve">Channels.</w:t>
      </w:r>
      <w:r>
        <w:t xml:space="preserve"> </w:t>
      </w:r>
      <w:r>
        <w:t xml:space="preserve">Reports may be made: by e-mail to speakup@settigroup.com; by post marked</w:t>
      </w:r>
      <w:r>
        <w:t xml:space="preserve"> </w:t>
      </w:r>
      <w:r>
        <w:t xml:space="preserve">“</w:t>
      </w:r>
      <w:r>
        <w:t xml:space="preserve">Confidential — Speak-Up</w:t>
      </w:r>
      <w:r>
        <w:t xml:space="preserve">”</w:t>
      </w:r>
      <w:r>
        <w:t xml:space="preserve"> </w:t>
      </w:r>
      <w:r>
        <w:t xml:space="preserve">to the registered address of Setti Group FZC in Sharjah Publishing City Free Zone or of Setti Group Ltda in Fortaleza, Ceará; in person or by phone to the Founder &amp; Principal; or, where the Founder &amp; Principal is implicated, to the independent external reviewer whose contact details are published on settigroup.com. The e-mail channel is monitored by the Founder &amp; Principal only.</w:t>
      </w:r>
    </w:p>
    <w:p>
      <w:pPr>
        <w:numPr>
          <w:ilvl w:val="0"/>
          <w:numId w:val="1003"/>
        </w:numPr>
        <w:pStyle w:val="Compact"/>
      </w:pPr>
      <w:r>
        <w:rPr>
          <w:bCs/>
          <w:b/>
        </w:rPr>
        <w:t xml:space="preserve">Anonymous reports are accepted.</w:t>
      </w:r>
      <w:r>
        <w:t xml:space="preserve"> </w:t>
      </w:r>
      <w:r>
        <w:t xml:space="preserve">Reporters may withhold their identity. The Group will investigate an anonymous report to the extent the information allows. Reporters are encouraged, but never required, to provide a means of contact so that questions can be asked and the outcome shared.</w:t>
      </w:r>
    </w:p>
    <w:p>
      <w:pPr>
        <w:numPr>
          <w:ilvl w:val="0"/>
          <w:numId w:val="1003"/>
        </w:numPr>
        <w:pStyle w:val="Compact"/>
      </w:pPr>
      <w:r>
        <w:rPr>
          <w:bCs/>
          <w:b/>
        </w:rPr>
        <w:t xml:space="preserve">What to include.</w:t>
      </w:r>
      <w:r>
        <w:t xml:space="preserve"> </w:t>
      </w:r>
      <w:r>
        <w:t xml:space="preserve">A useful report states what happened, when, where, who was involved, how the reporter knows, and whether there are documents or witnesses. Reporters should not gather evidence in ways that break the law or Group policy.</w:t>
      </w:r>
    </w:p>
    <w:p>
      <w:pPr>
        <w:numPr>
          <w:ilvl w:val="0"/>
          <w:numId w:val="1003"/>
        </w:numPr>
        <w:pStyle w:val="Compact"/>
      </w:pPr>
      <w:r>
        <w:rPr>
          <w:bCs/>
          <w:b/>
        </w:rPr>
        <w:t xml:space="preserve">Acknowledgement.</w:t>
      </w:r>
      <w:r>
        <w:t xml:space="preserve"> </w:t>
      </w:r>
      <w:r>
        <w:t xml:space="preserve">Every report received through a channel that allows a reply is acknowledged in writing within five business days.</w:t>
      </w:r>
    </w:p>
    <w:p>
      <w:pPr>
        <w:numPr>
          <w:ilvl w:val="0"/>
          <w:numId w:val="1003"/>
        </w:numPr>
        <w:pStyle w:val="Compact"/>
      </w:pPr>
      <w:r>
        <w:rPr>
          <w:bCs/>
          <w:b/>
        </w:rPr>
        <w:t xml:space="preserve">Initial assessment.</w:t>
      </w:r>
      <w:r>
        <w:t xml:space="preserve"> </w:t>
      </w:r>
      <w:r>
        <w:t xml:space="preserve">Within ten business days of receipt, the Founder &amp; Principal (or the independent external reviewer) records whether the report falls under this policy, whether it requires investigation, and who will investigate. Matters outside this policy, such as ordinary customer complaints or SetFit support requests, are redirected to the appropriate channel and the reporter is told.</w:t>
      </w:r>
    </w:p>
    <w:p>
      <w:pPr>
        <w:numPr>
          <w:ilvl w:val="0"/>
          <w:numId w:val="1003"/>
        </w:numPr>
        <w:pStyle w:val="Compact"/>
      </w:pPr>
      <w:r>
        <w:rPr>
          <w:bCs/>
          <w:b/>
        </w:rPr>
        <w:t xml:space="preserve">Reports involving the Founder &amp; Principal.</w:t>
      </w:r>
      <w:r>
        <w:t xml:space="preserve"> </w:t>
      </w:r>
      <w:r>
        <w:t xml:space="preserve">Where a report alleges wrongdoing by the Founder &amp; Principal, or where his personal or financial interest could reasonably affect the outcome, the report must be handled by the independent external reviewer. The reviewer investigates, reports findings in writing, and recommends action. The Founder &amp; Principal must not access the report, identify the reporter, or take part in the investigation.</w:t>
      </w:r>
    </w:p>
    <w:p>
      <w:pPr>
        <w:numPr>
          <w:ilvl w:val="0"/>
          <w:numId w:val="1003"/>
        </w:numPr>
        <w:pStyle w:val="Compact"/>
      </w:pPr>
      <w:r>
        <w:rPr>
          <w:bCs/>
          <w:b/>
        </w:rPr>
        <w:t xml:space="preserve">Investigation.</w:t>
      </w:r>
      <w:r>
        <w:t xml:space="preserve"> </w:t>
      </w:r>
      <w:r>
        <w:t xml:space="preserve">Investigations are proportionate, fair and documented. The person under investigation is informed of the allegations at an appropriate stage and given the opportunity to respond, unless doing so would prejudice the investigation. Investigations are normally concluded within 60 days; if longer is needed, the reporter is told.</w:t>
      </w:r>
    </w:p>
    <w:p>
      <w:pPr>
        <w:numPr>
          <w:ilvl w:val="0"/>
          <w:numId w:val="1003"/>
        </w:numPr>
        <w:pStyle w:val="Compact"/>
      </w:pPr>
      <w:r>
        <w:rPr>
          <w:bCs/>
          <w:b/>
        </w:rPr>
        <w:t xml:space="preserve">Confidentiality.</w:t>
      </w:r>
      <w:r>
        <w:t xml:space="preserve"> </w:t>
      </w:r>
      <w:r>
        <w:t xml:space="preserve">The identity of the reporter, of the persons named and of witnesses is kept confidential and disclosed only to those who need to know to investigate, or where disclosure is required by law or by a regulator. Reports and investigation files are stored separately from personnel files with access limited to the investigator.</w:t>
      </w:r>
    </w:p>
    <w:p>
      <w:pPr>
        <w:numPr>
          <w:ilvl w:val="0"/>
          <w:numId w:val="1003"/>
        </w:numPr>
        <w:pStyle w:val="Compact"/>
      </w:pPr>
      <w:r>
        <w:rPr>
          <w:bCs/>
          <w:b/>
        </w:rPr>
        <w:t xml:space="preserve">Non-retaliation.</w:t>
      </w:r>
      <w:r>
        <w:t xml:space="preserve"> </w:t>
      </w:r>
      <w:r>
        <w:t xml:space="preserve">No Personnel, contractor, client or business partner may retaliate against a person for making, supporting or cooperating with a report in good faith. Any adverse action against a reporter within 12 months of a report will be examined by the Founder &amp; Principal, or the independent external reviewer, before it takes effect.</w:t>
      </w:r>
    </w:p>
    <w:p>
      <w:pPr>
        <w:numPr>
          <w:ilvl w:val="0"/>
          <w:numId w:val="1003"/>
        </w:numPr>
        <w:pStyle w:val="Compact"/>
      </w:pPr>
      <w:r>
        <w:rPr>
          <w:bCs/>
          <w:b/>
        </w:rPr>
        <w:t xml:space="preserve">Protection extends to</w:t>
      </w:r>
      <w:r>
        <w:t xml:space="preserve"> </w:t>
      </w:r>
      <w:r>
        <w:t xml:space="preserve">witnesses, persons who assist an investigation, and persons wrongly believed to be reporters. Protection also applies where the report turns out to be unfounded, provided it was made in good faith.</w:t>
      </w:r>
    </w:p>
    <w:p>
      <w:pPr>
        <w:numPr>
          <w:ilvl w:val="0"/>
          <w:numId w:val="1003"/>
        </w:numPr>
        <w:pStyle w:val="Compact"/>
      </w:pPr>
      <w:r>
        <w:rPr>
          <w:bCs/>
          <w:b/>
        </w:rPr>
        <w:t xml:space="preserve">Malicious reports.</w:t>
      </w:r>
      <w:r>
        <w:t xml:space="preserve"> </w:t>
      </w:r>
      <w:r>
        <w:t xml:space="preserve">A report made knowingly false or for an improper purpose is not protected and may result in disciplinary action.</w:t>
      </w:r>
    </w:p>
    <w:p>
      <w:pPr>
        <w:numPr>
          <w:ilvl w:val="0"/>
          <w:numId w:val="1003"/>
        </w:numPr>
        <w:pStyle w:val="Compact"/>
      </w:pPr>
      <w:r>
        <w:rPr>
          <w:bCs/>
          <w:b/>
        </w:rPr>
        <w:t xml:space="preserve">External reporting.</w:t>
      </w:r>
      <w:r>
        <w:t xml:space="preserve"> </w:t>
      </w:r>
      <w:r>
        <w:t xml:space="preserve">Nothing in this policy prevents a person from reporting to a competent authority, regulator or law enforcement body in the UAE, Brazil or any other jurisdiction, or from exercising rights under the applicable labour law (UAE Federal Decree-Law No. 33/2021 or the Brazilian CLT), the LGPD, the PDPL or the GDPR. Personal data in reports is processed under the Group’s privacy obligations; questions go to privacy@settigroup.com.</w:t>
      </w:r>
    </w:p>
    <w:p>
      <w:pPr>
        <w:numPr>
          <w:ilvl w:val="0"/>
          <w:numId w:val="1003"/>
        </w:numPr>
        <w:pStyle w:val="Compact"/>
      </w:pPr>
      <w:r>
        <w:rPr>
          <w:bCs/>
          <w:b/>
        </w:rPr>
        <w:t xml:space="preserve">Outcome.</w:t>
      </w:r>
      <w:r>
        <w:t xml:space="preserve"> </w:t>
      </w:r>
      <w:r>
        <w:t xml:space="preserve">Reporters who have provided contact details are told, within the limits of confidentiality and law, whether the investigation confirmed the concern and, in general terms, what action was taken.</w:t>
      </w:r>
    </w:p>
    <w:p>
      <w:pPr>
        <w:numPr>
          <w:ilvl w:val="0"/>
          <w:numId w:val="1003"/>
        </w:numPr>
        <w:pStyle w:val="Compact"/>
      </w:pPr>
      <w:r>
        <w:rPr>
          <w:bCs/>
          <w:b/>
        </w:rPr>
        <w:t xml:space="preserve">Records.</w:t>
      </w:r>
      <w:r>
        <w:t xml:space="preserve"> </w:t>
      </w:r>
      <w:r>
        <w:t xml:space="preserve">A log of all reports, assessments, investigations and outcomes is kept by the Founder &amp; Principal (with the independent reviewer’s files kept by the reviewer) for at least 10 years, and is available to clients under contractual audit rights in anonymised form.</w:t>
      </w:r>
    </w:p>
    <w:p>
      <w:pPr>
        <w:numPr>
          <w:ilvl w:val="0"/>
          <w:numId w:val="1003"/>
        </w:numPr>
        <w:pStyle w:val="Compact"/>
      </w:pPr>
      <w:r>
        <w:rPr>
          <w:bCs/>
          <w:b/>
        </w:rPr>
        <w:t xml:space="preserve">Awareness.</w:t>
      </w:r>
      <w:r>
        <w:t xml:space="preserve"> </w:t>
      </w:r>
      <w:r>
        <w:t xml:space="preserve">This policy is published on settigroup.com, included in the induction of all Personnel and in training delegate materials, and referenced in SetFit and Arcas GRC terms of use and in agent and counterparty contracts.</w:t>
      </w:r>
    </w:p>
    <w:bookmarkEnd w:id="24"/>
    <w:bookmarkStart w:id="25" w:name="reporting-breaches-and-consequences"/>
    <w:p>
      <w:pPr>
        <w:pStyle w:val="Heading2"/>
      </w:pPr>
      <w:r>
        <w:t xml:space="preserve">Reporting, breaches and consequences</w:t>
      </w:r>
    </w:p>
    <w:p>
      <w:pPr>
        <w:pStyle w:val="FirstParagraph"/>
      </w:pPr>
      <w:r>
        <w:t xml:space="preserve">Breaches of this policy include retaliating against a reporter, obstructing an investigation, breaching confidentiality, and making a knowingly false report. Retaliation is treated as gross misconduct: consequences include termination of employment or contract under the applicable labour law, removal from an engagement, termination of platform access or of a business relationship, and referral to the authorities where the retaliation is itself unlawful.</w:t>
      </w:r>
    </w:p>
    <w:p>
      <w:pPr>
        <w:pStyle w:val="BodyText"/>
      </w:pPr>
      <w:r>
        <w:t xml:space="preserve">Where an investigation confirms wrongdoing, the Founder &amp; Principal (or, on the recommendation of the independent external reviewer, the appropriate decision-maker) will take corrective action under the relevant policy, including the Code of Conduct and Business Ethics and the Anti-Bribery and Anti-Corruption Policy, and will self-report to authorities where the law requires.</w:t>
      </w:r>
    </w:p>
    <w:bookmarkEnd w:id="25"/>
    <w:bookmarkStart w:id="26" w:name="related-policies-and-references"/>
    <w:p>
      <w:pPr>
        <w:pStyle w:val="Heading2"/>
      </w:pPr>
      <w:r>
        <w:t xml:space="preserve">Related policies and references</w:t>
      </w:r>
    </w:p>
    <w:p>
      <w:pPr>
        <w:numPr>
          <w:ilvl w:val="0"/>
          <w:numId w:val="1004"/>
        </w:numPr>
        <w:pStyle w:val="Compact"/>
      </w:pPr>
      <w:r>
        <w:t xml:space="preserve">Code of Conduct and Business Ethics</w:t>
      </w:r>
    </w:p>
    <w:p>
      <w:pPr>
        <w:numPr>
          <w:ilvl w:val="0"/>
          <w:numId w:val="1004"/>
        </w:numPr>
        <w:pStyle w:val="Compact"/>
      </w:pPr>
      <w:r>
        <w:t xml:space="preserve">Anti-Bribery and Anti-Corruption Policy</w:t>
      </w:r>
    </w:p>
    <w:p>
      <w:pPr>
        <w:numPr>
          <w:ilvl w:val="0"/>
          <w:numId w:val="1004"/>
        </w:numPr>
        <w:pStyle w:val="Compact"/>
      </w:pPr>
      <w:r>
        <w:t xml:space="preserve">Conflicts of Interest, Gifts and Hospitality Policy</w:t>
      </w:r>
    </w:p>
    <w:p>
      <w:pPr>
        <w:numPr>
          <w:ilvl w:val="0"/>
          <w:numId w:val="1004"/>
        </w:numPr>
        <w:pStyle w:val="Compact"/>
      </w:pPr>
      <w:r>
        <w:t xml:space="preserve">Sanctions, Export Control and Trade Compliance Policy</w:t>
      </w:r>
    </w:p>
    <w:p>
      <w:pPr>
        <w:numPr>
          <w:ilvl w:val="0"/>
          <w:numId w:val="1004"/>
        </w:numPr>
        <w:pStyle w:val="Compact"/>
      </w:pPr>
      <w:r>
        <w:t xml:space="preserve">Third-Party Due Diligence and KYC Policy</w:t>
      </w:r>
    </w:p>
    <w:p>
      <w:pPr>
        <w:numPr>
          <w:ilvl w:val="0"/>
          <w:numId w:val="1004"/>
        </w:numPr>
        <w:pStyle w:val="Compact"/>
      </w:pPr>
      <w:r>
        <w:t xml:space="preserve">UAE Federal Decree-Law No. 33/2021 (Labour Law); UAE Federal Decree-Law No. 45/2021 (PDPL)</w:t>
      </w:r>
    </w:p>
    <w:p>
      <w:pPr>
        <w:numPr>
          <w:ilvl w:val="0"/>
          <w:numId w:val="1004"/>
        </w:numPr>
        <w:pStyle w:val="Compact"/>
      </w:pPr>
      <w:r>
        <w:t xml:space="preserve">Brazil: Lei 12.846/2013 and Decreto 11.129/2022; CLT (Decreto-Lei 5.452/1943); Lei 13.709/2018 (LGPD)</w:t>
      </w:r>
    </w:p>
    <w:p>
      <w:pPr>
        <w:numPr>
          <w:ilvl w:val="0"/>
          <w:numId w:val="1004"/>
        </w:numPr>
        <w:pStyle w:val="Compact"/>
      </w:pPr>
      <w:r>
        <w:t xml:space="preserve">EU GDPR (Regulation 2016/679); UN Guiding Principles on Business and Human Rights; ISO 37001 (reference framework only; Setti Group is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and after each investigation to capture lessons learned.</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Speak-Up and Non-Retaliation Policy</dc:title>
  <dc:creator/>
  <dc:language>en</dc:language>
  <cp:keywords/>
  <dcterms:created xsi:type="dcterms:W3CDTF">2026-09-26T10:52:25Z</dcterms:created>
  <dcterms:modified xsi:type="dcterms:W3CDTF">2026-09-26T10:52:25Z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whistleblowing</vt:lpwstr>
  </property>
  <property fmtid="{D5CDD505-2E9C-101B-9397-08002B2CF9AE}" pid="5" name="owner">
    <vt:lpwstr>Founder &amp; Principal, Setti Group</vt:lpwstr>
  </property>
  <property fmtid="{D5CDD505-2E9C-101B-9397-08002B2CF9AE}" pid="6" name="summary">
    <vt:lpwstr>Explains how anyone can report suspected wrongdoing at Setti Group, including anonymously, how reports are handled, and the protection given against retaliation.</vt:lpwstr>
  </property>
  <property fmtid="{D5CDD505-2E9C-101B-9397-08002B2CF9AE}" pid="7" name="version">
    <vt:lpwstr>1.0</vt:lpwstr>
  </property>
</Properties>
</file>