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Política da Qualidade e Melhoria Contínua</w:t>
      </w:r>
    </w:p>
    <w:bookmarkStart w:id="20" w:name="finalidade-e-abrangência"/>
    <w:p>
      <w:pPr>
        <w:pStyle w:val="Heading2"/>
      </w:pPr>
      <w:r>
        <w:t xml:space="preserve">Finalidade e abrangência</w:t>
      </w:r>
    </w:p>
    <w:p>
      <w:pPr>
        <w:pStyle w:val="FirstParagraph"/>
      </w:pPr>
      <w:r>
        <w:t xml:space="preserve">Os clientes contratam o Setti Group por orientações que possam colocar em prática e por software em que possam confiar. Esta política estabelece os padrões de qualidade para tudo o que o Grupo emite sob seu nome e o mecanismo pelo qual ele melhora. Aplica-se à Setti Group FZC (Sharjah Publishing City Free Zone, Emirados Árabes Unidos) e à Setti Group Ltda (CNPJ 69.086.322/0001-00, Fortaleza, Ceará, Brasil; nome fantasia SetFit), em conjunto</w:t>
      </w:r>
      <w:r>
        <w:t xml:space="preserve"> </w:t>
      </w:r>
      <w:r>
        <w:t xml:space="preserve">“</w:t>
      </w:r>
      <w:r>
        <w:t xml:space="preserve">Setti Group</w:t>
      </w:r>
      <w:r>
        <w:t xml:space="preserve">”</w:t>
      </w:r>
      <w:r>
        <w:t xml:space="preserve"> </w:t>
      </w:r>
      <w:r>
        <w:t xml:space="preserve">ou</w:t>
      </w:r>
      <w:r>
        <w:t xml:space="preserve"> </w:t>
      </w:r>
      <w:r>
        <w:t xml:space="preserve">“</w:t>
      </w:r>
      <w:r>
        <w:t xml:space="preserve">o Grupo</w:t>
      </w:r>
      <w:r>
        <w:t xml:space="preserve">”</w:t>
      </w:r>
      <w:r>
        <w:t xml:space="preserve">.</w:t>
      </w:r>
    </w:p>
    <w:p>
      <w:pPr>
        <w:pStyle w:val="BodyText"/>
      </w:pPr>
      <w:r>
        <w:t xml:space="preserve">Abrange os entregáveis de consultoria (relatórios de auditoria e inspeção, avaliações de risco, investigações de incidentes, documentos de sistema de gestão, análises de lacunas), o treinamento (incluindo os cursos IOSH Managing Safely), as plataformas de software Arcas GRC e SetFit, e os serviços de intermediação de comércio de commodities do Grupo. Vincula todos que produzem trabalho sob o nome do Grupo, incluindo associados e especialistas subcontratados.</w:t>
      </w:r>
    </w:p>
    <w:bookmarkEnd w:id="20"/>
    <w:bookmarkStart w:id="21" w:name="declaração-da-política"/>
    <w:p>
      <w:pPr>
        <w:pStyle w:val="Heading2"/>
      </w:pPr>
      <w:r>
        <w:t xml:space="preserve">Declaração da política</w:t>
      </w:r>
    </w:p>
    <w:p>
      <w:pPr>
        <w:pStyle w:val="FirstParagraph"/>
      </w:pPr>
      <w:r>
        <w:t xml:space="preserve">O Setti Group se compromete a entregar trabalho preciso, completo, rastreável às evidências e adequado à decisão que o cliente precisa tomar. Todo entregável é revisado por uma segunda pessoa antes da emissão. O retorno do cliente é solicitado em todo contrato e é tratado. Os erros são corrigidos abertamente, às custas do Grupo quando o Grupo for o responsável, e suas causas são eliminadas para que não se repitam.</w:t>
      </w:r>
    </w:p>
    <w:p>
      <w:pPr>
        <w:pStyle w:val="BodyText"/>
      </w:pPr>
      <w:r>
        <w:t xml:space="preserve">O Grupo utiliza a ISO 9001 (gestão da qualidade) como referencial. Não é certificado na ISO 9001 e não afirma sê-lo.</w:t>
      </w:r>
    </w:p>
    <w:bookmarkEnd w:id="21"/>
    <w:bookmarkStart w:id="22" w:name="definições"/>
    <w:p>
      <w:pPr>
        <w:pStyle w:val="Heading2"/>
      </w:pPr>
      <w:r>
        <w:t xml:space="preserve">Definições</w:t>
      </w:r>
    </w:p>
    <w:p>
      <w:pPr>
        <w:numPr>
          <w:ilvl w:val="0"/>
          <w:numId w:val="1001"/>
        </w:numPr>
        <w:pStyle w:val="Compact"/>
      </w:pPr>
      <w:r>
        <w:rPr>
          <w:bCs/>
          <w:b/>
        </w:rPr>
        <w:t xml:space="preserve">Entregável</w:t>
      </w:r>
      <w:r>
        <w:t xml:space="preserve">: qualquer relatório, avaliação, documento, conjunto de dados, curso de treinamento ou versão de software emitido a cliente ou usuário sob o nome do Grupo.</w:t>
      </w:r>
    </w:p>
    <w:p>
      <w:pPr>
        <w:numPr>
          <w:ilvl w:val="0"/>
          <w:numId w:val="1001"/>
        </w:numPr>
        <w:pStyle w:val="Compact"/>
      </w:pPr>
      <w:r>
        <w:rPr>
          <w:bCs/>
          <w:b/>
        </w:rPr>
        <w:t xml:space="preserve">Constatação</w:t>
      </w:r>
      <w:r>
        <w:t xml:space="preserve">: observação em um entregável de consultoria que identifica um perigo, lacuna, não conformidade ou oportunidade.</w:t>
      </w:r>
    </w:p>
    <w:p>
      <w:pPr>
        <w:numPr>
          <w:ilvl w:val="0"/>
          <w:numId w:val="1001"/>
        </w:numPr>
        <w:pStyle w:val="Compact"/>
      </w:pPr>
      <w:r>
        <w:rPr>
          <w:bCs/>
          <w:b/>
        </w:rPr>
        <w:t xml:space="preserve">Revisão por pares</w:t>
      </w:r>
      <w:r>
        <w:t xml:space="preserve">: revisão de um entregável por pessoa competente que não seja o autor, antes da emissão.</w:t>
      </w:r>
    </w:p>
    <w:p>
      <w:pPr>
        <w:numPr>
          <w:ilvl w:val="0"/>
          <w:numId w:val="1001"/>
        </w:numPr>
        <w:pStyle w:val="Compact"/>
      </w:pPr>
      <w:r>
        <w:rPr>
          <w:bCs/>
          <w:b/>
        </w:rPr>
        <w:t xml:space="preserve">Ação corretiva</w:t>
      </w:r>
      <w:r>
        <w:t xml:space="preserve">: ação adotada para eliminar a causa de um erro ou não conformidade detectados, de modo que não se repita.</w:t>
      </w:r>
    </w:p>
    <w:p>
      <w:pPr>
        <w:numPr>
          <w:ilvl w:val="0"/>
          <w:numId w:val="1001"/>
        </w:numPr>
        <w:pStyle w:val="Compact"/>
      </w:pPr>
      <w:r>
        <w:rPr>
          <w:bCs/>
          <w:b/>
        </w:rPr>
        <w:t xml:space="preserve">Versão (release)</w:t>
      </w:r>
      <w:r>
        <w:t xml:space="preserve">: versão do Arcas GRC ou do SetFit disponibilizada aos usuários em produção.</w:t>
      </w:r>
    </w:p>
    <w:bookmarkEnd w:id="22"/>
    <w:bookmarkStart w:id="23" w:name="responsabilidades"/>
    <w:p>
      <w:pPr>
        <w:pStyle w:val="Heading2"/>
      </w:pPr>
      <w:r>
        <w:t xml:space="preserve">Responsabilidades</w:t>
      </w:r>
    </w:p>
    <w:p>
      <w:pPr>
        <w:pStyle w:val="FirstParagraph"/>
      </w:pPr>
      <w:r>
        <w:t xml:space="preserve">O</w:t>
      </w:r>
      <w:r>
        <w:t xml:space="preserve"> </w:t>
      </w:r>
      <w:r>
        <w:rPr>
          <w:bCs/>
          <w:b/>
        </w:rPr>
        <w:t xml:space="preserve">Fundador e Diretor</w:t>
      </w:r>
      <w:r>
        <w:t xml:space="preserve"> </w:t>
      </w:r>
      <w:r>
        <w:t xml:space="preserve">é o responsável por esta política, aprova os modelos de entregáveis, atua como revisor por pares ou designa um, aprova todo entregável de consultoria antes da emissão, aprova toda versão de software em produção, analisa o retorno dos clientes e as ações corretivas, e relata o desempenho da qualidade na análise crítica anual.</w:t>
      </w:r>
    </w:p>
    <w:p>
      <w:pPr>
        <w:pStyle w:val="BodyText"/>
      </w:pPr>
      <w:r>
        <w:t xml:space="preserve">Os</w:t>
      </w:r>
      <w:r>
        <w:t xml:space="preserve"> </w:t>
      </w:r>
      <w:r>
        <w:rPr>
          <w:bCs/>
          <w:b/>
        </w:rPr>
        <w:t xml:space="preserve">autores</w:t>
      </w:r>
      <w:r>
        <w:t xml:space="preserve"> </w:t>
      </w:r>
      <w:r>
        <w:t xml:space="preserve">(empregados, associados, especialistas subcontratados) produzem o trabalho conforme os padrões abaixo, verificam-no contra a lista de verificação daquele tipo de entregável e respondem aos comentários da revisão por pares antes da emissão.</w:t>
      </w:r>
    </w:p>
    <w:p>
      <w:pPr>
        <w:pStyle w:val="BodyText"/>
      </w:pPr>
      <w:r>
        <w:t xml:space="preserve">Os</w:t>
      </w:r>
      <w:r>
        <w:t xml:space="preserve"> </w:t>
      </w:r>
      <w:r>
        <w:rPr>
          <w:bCs/>
          <w:b/>
        </w:rPr>
        <w:t xml:space="preserve">revisores por pares</w:t>
      </w:r>
      <w:r>
        <w:t xml:space="preserve"> </w:t>
      </w:r>
      <w:r>
        <w:t xml:space="preserve">verificam o entregável contra os requisitos abaixo e registram sua revisão. O revisor por pares não pode ser o autor.</w:t>
      </w:r>
    </w:p>
    <w:p>
      <w:pPr>
        <w:pStyle w:val="BodyText"/>
      </w:pPr>
      <w:r>
        <w:t xml:space="preserve">Os</w:t>
      </w:r>
      <w:r>
        <w:t xml:space="preserve"> </w:t>
      </w:r>
      <w:r>
        <w:rPr>
          <w:bCs/>
          <w:b/>
        </w:rPr>
        <w:t xml:space="preserve">instrutores</w:t>
      </w:r>
      <w:r>
        <w:t xml:space="preserve"> </w:t>
      </w:r>
      <w:r>
        <w:t xml:space="preserve">ministram os cursos conforme o programa e o padrão de avaliação aprovados e coletam o retorno dos participantes.</w:t>
      </w:r>
    </w:p>
    <w:p>
      <w:pPr>
        <w:pStyle w:val="BodyText"/>
      </w:pPr>
      <w:r>
        <w:t xml:space="preserve">Os</w:t>
      </w:r>
      <w:r>
        <w:t xml:space="preserve"> </w:t>
      </w:r>
      <w:r>
        <w:rPr>
          <w:bCs/>
          <w:b/>
        </w:rPr>
        <w:t xml:space="preserve">desenvolvedores</w:t>
      </w:r>
      <w:r>
        <w:t xml:space="preserve"> </w:t>
      </w:r>
      <w:r>
        <w:t xml:space="preserve">do Arcas GRC e do SetFit seguem os requisitos de versão abaixo.</w:t>
      </w:r>
    </w:p>
    <w:bookmarkEnd w:id="23"/>
    <w:bookmarkStart w:id="24" w:name="requisitos"/>
    <w:p>
      <w:pPr>
        <w:pStyle w:val="Heading2"/>
      </w:pPr>
      <w:r>
        <w:t xml:space="preserve">Requisitos</w:t>
      </w:r>
    </w:p>
    <w:p>
      <w:pPr>
        <w:numPr>
          <w:ilvl w:val="0"/>
          <w:numId w:val="1002"/>
        </w:numPr>
        <w:pStyle w:val="Compact"/>
      </w:pPr>
      <w:r>
        <w:rPr>
          <w:bCs/>
          <w:b/>
        </w:rPr>
        <w:t xml:space="preserve">Escopo acordado por escrito.</w:t>
      </w:r>
      <w:r>
        <w:t xml:space="preserve"> </w:t>
      </w:r>
      <w:r>
        <w:t xml:space="preserve">Todo contrato começa com um escopo escrito que indica os entregáveis, a norma ou os critérios de avaliação do trabalho, as evidências a analisar, o acesso às instalações necessário e a data de entrega. Alterações de escopo são acordadas por escrito antes da execução do trabalho.</w:t>
      </w:r>
    </w:p>
    <w:p>
      <w:pPr>
        <w:numPr>
          <w:ilvl w:val="0"/>
          <w:numId w:val="1002"/>
        </w:numPr>
        <w:pStyle w:val="Compact"/>
      </w:pPr>
      <w:r>
        <w:rPr>
          <w:bCs/>
          <w:b/>
        </w:rPr>
        <w:t xml:space="preserve">Toda constatação é completa.</w:t>
      </w:r>
      <w:r>
        <w:t xml:space="preserve"> </w:t>
      </w:r>
      <w:r>
        <w:t xml:space="preserve">Cada constatação em um entregável de consultoria contém, no mínimo: (a) uma descrição referenciada à evidência observada, (b) uma pontuação de risco segundo a matriz declarada no relatório, (c) um controle recomendado, selecionado conforme a hierarquia de controles, (d) um responsável proposto do lado do cliente, (e) um prazo proposto e (f) o risco residual esperado após a implantação do controle. Uma constatação sem qualquer desses elementos não é emitida.</w:t>
      </w:r>
    </w:p>
    <w:p>
      <w:pPr>
        <w:numPr>
          <w:ilvl w:val="0"/>
          <w:numId w:val="1002"/>
        </w:numPr>
        <w:pStyle w:val="Compact"/>
      </w:pPr>
      <w:r>
        <w:rPr>
          <w:bCs/>
          <w:b/>
        </w:rPr>
        <w:t xml:space="preserve">A evidência é rastreável.</w:t>
      </w:r>
      <w:r>
        <w:t xml:space="preserve"> </w:t>
      </w:r>
      <w:r>
        <w:t xml:space="preserve">As constatações citam o documento, registro, entrevista, medição ou fotografia em que se baseiam. As fotografias são datadas e localizadas. As opiniões são identificadas como tal.</w:t>
      </w:r>
    </w:p>
    <w:p>
      <w:pPr>
        <w:numPr>
          <w:ilvl w:val="0"/>
          <w:numId w:val="1002"/>
        </w:numPr>
        <w:pStyle w:val="Compact"/>
      </w:pPr>
      <w:r>
        <w:rPr>
          <w:bCs/>
          <w:b/>
        </w:rPr>
        <w:t xml:space="preserve">Modelos e controle de versão.</w:t>
      </w:r>
      <w:r>
        <w:t xml:space="preserve"> </w:t>
      </w:r>
      <w:r>
        <w:t xml:space="preserve">Os entregáveis utilizam o modelo vigente do Grupo para aquele tipo de entregável. Todo documento emitido contém número de versão, data de emissão, autor, revisor e distribuição. As minutas são identificadas como minutas.</w:t>
      </w:r>
    </w:p>
    <w:p>
      <w:pPr>
        <w:numPr>
          <w:ilvl w:val="0"/>
          <w:numId w:val="1002"/>
        </w:numPr>
        <w:pStyle w:val="Compact"/>
      </w:pPr>
      <w:r>
        <w:rPr>
          <w:bCs/>
          <w:b/>
        </w:rPr>
        <w:t xml:space="preserve">Revisão por pares antes da emissão.</w:t>
      </w:r>
      <w:r>
        <w:t xml:space="preserve"> </w:t>
      </w:r>
      <w:r>
        <w:t xml:space="preserve">Nenhum entregável de consultoria é emitido sem revisão por pares documentada por pessoa competente que não seja o autor. O revisor verifica a exatidão técnica, a completude de cada constatação conforme o requisito 2, as referências legais, os cálculos, a coerência com o escopo acordado e a legibilidade. Quando o único revisor competente do Grupo for o autor, um associado externo é contratado como revisor conforme a Política de Subcontratação e Parceiros Especialistas.</w:t>
      </w:r>
    </w:p>
    <w:p>
      <w:pPr>
        <w:numPr>
          <w:ilvl w:val="0"/>
          <w:numId w:val="1002"/>
        </w:numPr>
        <w:pStyle w:val="Compact"/>
      </w:pPr>
      <w:r>
        <w:rPr>
          <w:bCs/>
          <w:b/>
        </w:rPr>
        <w:t xml:space="preserve">As referências legais são atuais.</w:t>
      </w:r>
      <w:r>
        <w:t xml:space="preserve"> </w:t>
      </w:r>
      <w:r>
        <w:t xml:space="preserve">Toda citação de lei, regulamento ou norma é verificada contra o texto vigente antes da emissão. As normas são citadas como referenciais, não como certificações detidas pelo Grupo ou pelo cliente, salvo se o cliente tiver fornecido o certificado.</w:t>
      </w:r>
    </w:p>
    <w:p>
      <w:pPr>
        <w:numPr>
          <w:ilvl w:val="0"/>
          <w:numId w:val="1002"/>
        </w:numPr>
        <w:pStyle w:val="Compact"/>
      </w:pPr>
      <w:r>
        <w:rPr>
          <w:bCs/>
          <w:b/>
        </w:rPr>
        <w:t xml:space="preserve">Linguagem clara.</w:t>
      </w:r>
      <w:r>
        <w:t xml:space="preserve"> </w:t>
      </w:r>
      <w:r>
        <w:t xml:space="preserve">Os entregáveis são escritos para a pessoa que deverá agir com base neles. Os sumários executivos apresentam as três a cinco constatações mais importantes e o que exigem. Os anexos técnicos contêm o detalhamento.</w:t>
      </w:r>
    </w:p>
    <w:p>
      <w:pPr>
        <w:numPr>
          <w:ilvl w:val="0"/>
          <w:numId w:val="1002"/>
        </w:numPr>
        <w:pStyle w:val="Compact"/>
      </w:pPr>
      <w:r>
        <w:rPr>
          <w:bCs/>
          <w:b/>
        </w:rPr>
        <w:t xml:space="preserve">Qualidade do treinamento.</w:t>
      </w:r>
      <w:r>
        <w:t xml:space="preserve"> </w:t>
      </w:r>
      <w:r>
        <w:t xml:space="preserve">Os cursos IOSH Managing Safely e demais cursos são ministrados conforme o programa aprovado por instrutores que atendam aos padrões da Política de Treinamento e Competência. As avaliações dos participantes são corrigidas segundo o esquema de correção publicado. O retorno dos participantes é coletado ao final de cada curso e analisado pelo Fundador e Diretor em até dez dias úteis.</w:t>
      </w:r>
    </w:p>
    <w:p>
      <w:pPr>
        <w:numPr>
          <w:ilvl w:val="0"/>
          <w:numId w:val="1002"/>
        </w:numPr>
        <w:pStyle w:val="Compact"/>
      </w:pPr>
      <w:r>
        <w:rPr>
          <w:bCs/>
          <w:b/>
        </w:rPr>
        <w:t xml:space="preserve">Qualidade das versões de software do Arcas GRC e do SetFit.</w:t>
      </w:r>
      <w:r>
        <w:t xml:space="preserve"> </w:t>
      </w:r>
      <w:r>
        <w:t xml:space="preserve">Uma versão vai para produção somente quando: (a) os testes automatizados passam na versão candidata, (b) as alterações que afetam autenticação, autorização, pagamento, exportação ou exclusão de dados foram revisadas por uma segunda pessoa, (c) as notas da versão foram redigidas, (d) um caminho de reversão foi confirmado e (e) o Fundador e Diretor aprovou a versão. No SetFit, qualquer alteração na forma como dados pessoais, e em particular medições de composição corporal e de condicionamento físico (dados relacionados à saúde), são coletados, armazenados, compartilhados ou excluídos exige também revisão contra a Política de Privacidade e Proteção de Dados antes da liberação. Defeitos que exponham dados pessoais, bloqueiem o login ou corrompam dados de usuários são tratados como críticos e corrigidos ou revertidos em até 24 horas.</w:t>
      </w:r>
    </w:p>
    <w:p>
      <w:pPr>
        <w:numPr>
          <w:ilvl w:val="0"/>
          <w:numId w:val="1002"/>
        </w:numPr>
        <w:pStyle w:val="Compact"/>
      </w:pPr>
      <w:r>
        <w:rPr>
          <w:bCs/>
          <w:b/>
        </w:rPr>
        <w:t xml:space="preserve">Retorno do cliente.</w:t>
      </w:r>
      <w:r>
        <w:t xml:space="preserve"> </w:t>
      </w:r>
      <w:r>
        <w:t xml:space="preserve">No encerramento de cada contrato de consultoria e de cada curso, o Grupo solicita ao cliente retorno estruturado sobre exatidão, utilidade, comunicação e pontualidade. No Arcas GRC e no SetFit, o retorno dentro do produto e os chamados de suporte são analisados semanalmente. O retorno é registrado e discutido na reunião mensal de análise operacional.</w:t>
      </w:r>
    </w:p>
    <w:p>
      <w:pPr>
        <w:numPr>
          <w:ilvl w:val="0"/>
          <w:numId w:val="1002"/>
        </w:numPr>
        <w:pStyle w:val="Compact"/>
      </w:pPr>
      <w:r>
        <w:rPr>
          <w:bCs/>
          <w:b/>
        </w:rPr>
        <w:t xml:space="preserve">Erros e ações corretivas.</w:t>
      </w:r>
      <w:r>
        <w:t xml:space="preserve"> </w:t>
      </w:r>
      <w:r>
        <w:t xml:space="preserve">Quando um erro é encontrado em um entregável emitido, o cliente é informado em até dois dias úteis, uma versão corrigida é emitida e a causa é registrada. Erros, reclamações, versões com falha e temas recorrentes no retorno são lançados no registro de ações corretivas com causa raiz, ação, responsável e prazo, e são acompanhados até o encerramento pelo Fundador e Diretor.</w:t>
      </w:r>
    </w:p>
    <w:p>
      <w:pPr>
        <w:numPr>
          <w:ilvl w:val="0"/>
          <w:numId w:val="1002"/>
        </w:numPr>
        <w:pStyle w:val="Compact"/>
      </w:pPr>
      <w:r>
        <w:rPr>
          <w:bCs/>
          <w:b/>
        </w:rPr>
        <w:t xml:space="preserve">Reclamações.</w:t>
      </w:r>
      <w:r>
        <w:t xml:space="preserve"> </w:t>
      </w:r>
      <w:r>
        <w:t xml:space="preserve">As reclamações de clientes são confirmadas em até dois dias úteis e respondidas por escrito em até dez dias úteis. Quando o Grupo for o responsável, corrige o trabalho às suas próprias custas.</w:t>
      </w:r>
    </w:p>
    <w:p>
      <w:pPr>
        <w:numPr>
          <w:ilvl w:val="0"/>
          <w:numId w:val="1002"/>
        </w:numPr>
        <w:pStyle w:val="Compact"/>
      </w:pPr>
      <w:r>
        <w:rPr>
          <w:bCs/>
          <w:b/>
        </w:rPr>
        <w:t xml:space="preserve">Melhoria contínua.</w:t>
      </w:r>
      <w:r>
        <w:t xml:space="preserve"> </w:t>
      </w:r>
      <w:r>
        <w:t xml:space="preserve">Modelos, listas de verificação, matriz de pontuação, materiais de curso e procedimentos de versão são revisados ao menos anualmente, tendo como entradas o registro de ações corretivas, o retorno recebido e as alterações em leis ou normas. As melhorias são registradas junto com a mudança de versão.</w:t>
      </w:r>
    </w:p>
    <w:p>
      <w:pPr>
        <w:numPr>
          <w:ilvl w:val="0"/>
          <w:numId w:val="1002"/>
        </w:numPr>
        <w:pStyle w:val="Compact"/>
      </w:pPr>
      <w:r>
        <w:rPr>
          <w:bCs/>
          <w:b/>
        </w:rPr>
        <w:t xml:space="preserve">Registros.</w:t>
      </w:r>
      <w:r>
        <w:t xml:space="preserve"> </w:t>
      </w:r>
      <w:r>
        <w:t xml:space="preserve">Os arquivos de contrato (escopo, evidências, minutas, registro de revisão por pares, entregável emitido, retorno) são mantidos por no mínimo sete anos, ou por mais tempo quando contrato ou lei exigir, no sistema de documentos em nuvem do Grupo.</w:t>
      </w:r>
    </w:p>
    <w:bookmarkEnd w:id="24"/>
    <w:bookmarkStart w:id="25" w:name="comunicação-violações-e-consequências"/>
    <w:p>
      <w:pPr>
        <w:pStyle w:val="Heading2"/>
      </w:pPr>
      <w:r>
        <w:t xml:space="preserve">Comunicação, violações e consequências</w:t>
      </w:r>
    </w:p>
    <w:p>
      <w:pPr>
        <w:pStyle w:val="FirstParagraph"/>
      </w:pPr>
      <w:r>
        <w:t xml:space="preserve">Qualquer pessoa que tome conhecimento de erro em entregável emitido, de entregável emitido sem revisão por pares, de versão liberada sem aprovação ou de qualquer outra violação desta política deve comunicá-lo ao Fundador e Diretor ou a compliance@settigroup.com (a ser criado). Os relatos também podem ser feitos a speakup@settigroup.com (a ser criado) ou por correio ao endereço registrado, e podem ser anônimos.</w:t>
      </w:r>
    </w:p>
    <w:p>
      <w:pPr>
        <w:pStyle w:val="BodyText"/>
      </w:pPr>
      <w:r>
        <w:t xml:space="preserve">Emitir trabalho sob o nome do Grupo sem revisão por pares, fabricar ou alterar evidências ou ocultar erro conhecido constitui violação grave e pode resultar na rescisão do contrato de trabalho ou do contrato de associado ou subcontratado. Erros honestos comunicados prontamente são tratados como oportunidades de aprendizado, não como matéria disciplinar.</w:t>
      </w:r>
    </w:p>
    <w:bookmarkEnd w:id="25"/>
    <w:bookmarkStart w:id="26" w:name="políticas-relacionadas-e-referências"/>
    <w:p>
      <w:pPr>
        <w:pStyle w:val="Heading2"/>
      </w:pPr>
      <w:r>
        <w:t xml:space="preserve">Políticas relacionadas e referências</w:t>
      </w:r>
    </w:p>
    <w:p>
      <w:pPr>
        <w:numPr>
          <w:ilvl w:val="0"/>
          <w:numId w:val="1003"/>
        </w:numPr>
        <w:pStyle w:val="Compact"/>
      </w:pPr>
      <w:r>
        <w:t xml:space="preserve">Política de Treinamento e Competência</w:t>
      </w:r>
    </w:p>
    <w:p>
      <w:pPr>
        <w:numPr>
          <w:ilvl w:val="0"/>
          <w:numId w:val="1003"/>
        </w:numPr>
        <w:pStyle w:val="Compact"/>
      </w:pPr>
      <w:r>
        <w:t xml:space="preserve">Política de Subcontratação e Parceiros Especialistas</w:t>
      </w:r>
    </w:p>
    <w:p>
      <w:pPr>
        <w:numPr>
          <w:ilvl w:val="0"/>
          <w:numId w:val="1003"/>
        </w:numPr>
        <w:pStyle w:val="Compact"/>
      </w:pPr>
      <w:r>
        <w:t xml:space="preserve">Política de Saúde, Segurança, Segurança Patrimonial e Meio Ambiente</w:t>
      </w:r>
    </w:p>
    <w:p>
      <w:pPr>
        <w:numPr>
          <w:ilvl w:val="0"/>
          <w:numId w:val="1003"/>
        </w:numPr>
        <w:pStyle w:val="Compact"/>
      </w:pPr>
      <w:r>
        <w:t xml:space="preserve">Política de Continuidade de Negócios</w:t>
      </w:r>
    </w:p>
    <w:p>
      <w:pPr>
        <w:numPr>
          <w:ilvl w:val="0"/>
          <w:numId w:val="1003"/>
        </w:numPr>
        <w:pStyle w:val="Compact"/>
      </w:pPr>
      <w:r>
        <w:t xml:space="preserve">Política de Privacidade e Proteção de Dados</w:t>
      </w:r>
    </w:p>
    <w:p>
      <w:pPr>
        <w:numPr>
          <w:ilvl w:val="0"/>
          <w:numId w:val="1003"/>
        </w:numPr>
        <w:pStyle w:val="Compact"/>
      </w:pPr>
      <w:r>
        <w:t xml:space="preserve">Política de Segurança da Informação</w:t>
      </w:r>
    </w:p>
    <w:p>
      <w:pPr>
        <w:numPr>
          <w:ilvl w:val="0"/>
          <w:numId w:val="1003"/>
        </w:numPr>
        <w:pStyle w:val="Compact"/>
      </w:pPr>
      <w:r>
        <w:t xml:space="preserve">Código de Conduta</w:t>
      </w:r>
    </w:p>
    <w:p>
      <w:pPr>
        <w:numPr>
          <w:ilvl w:val="0"/>
          <w:numId w:val="1003"/>
        </w:numPr>
        <w:pStyle w:val="Compact"/>
      </w:pPr>
      <w:r>
        <w:t xml:space="preserve">ISO 9001 (referencial; o Grupo não é certificado)</w:t>
      </w:r>
    </w:p>
    <w:p>
      <w:pPr>
        <w:numPr>
          <w:ilvl w:val="0"/>
          <w:numId w:val="1003"/>
        </w:numPr>
        <w:pStyle w:val="Compact"/>
      </w:pPr>
      <w:r>
        <w:t xml:space="preserve">ISO/IEC 27001 (referencial para liberação de software e segurança da informação; o Grupo não é certificado)</w:t>
      </w:r>
    </w:p>
    <w:bookmarkEnd w:id="26"/>
    <w:bookmarkStart w:id="27" w:name="análise-crítica-e-aprovação"/>
    <w:p>
      <w:pPr>
        <w:pStyle w:val="Heading2"/>
      </w:pPr>
      <w:r>
        <w:t xml:space="preserve">Análise crítica e aprovação</w:t>
      </w:r>
    </w:p>
    <w:p>
      <w:pPr>
        <w:pStyle w:val="FirstParagraph"/>
      </w:pPr>
      <w:r>
        <w:t xml:space="preserve">Versão 1.0, vigente a partir de 1º de outubro de 2026. Aprovada pelo Fundador e Diretor, Setti Group. Esta política é revisada anualmente ou em caso de alteração relevante da legislação, dos serviços do Grupo ou das normas que referencia. Dúvidas devem ser encaminhadas a compliance@settigroup.com (a ser criado).</w:t>
      </w:r>
    </w:p>
    <w:p>
      <w:pPr>
        <w:pStyle w:val="BlockText"/>
      </w:pPr>
      <w:r>
        <w:t xml:space="preserve">Minuta preparada para revisão jurídica. Sem efeito até aprovação e assinatura.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pt-BR"/>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Política da Qualidade e Melhoria Contínua</dc:title>
  <dc:creator/>
  <dc:language>pt-BR</dc:language>
  <cp:keywords/>
  <dcterms:created xsi:type="dcterms:W3CDTF">2026-09-26T10:52:24Z</dcterms:created>
  <dcterms:modified xsi:type="dcterms:W3CDTF">2026-09-26T10:52:24Z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public</vt:lpwstr>
  </property>
  <property fmtid="{D5CDD505-2E9C-101B-9397-08002B2CF9AE}" pid="3" name="effective">
    <vt:lpwstr>2026-10-01</vt:lpwstr>
  </property>
  <property fmtid="{D5CDD505-2E9C-101B-9397-08002B2CF9AE}" pid="4" name="id">
    <vt:lpwstr>quality-policy</vt:lpwstr>
  </property>
  <property fmtid="{D5CDD505-2E9C-101B-9397-08002B2CF9AE}" pid="5" name="owner">
    <vt:lpwstr>Fundador e Diretor, Setti Group</vt:lpwstr>
  </property>
  <property fmtid="{D5CDD505-2E9C-101B-9397-08002B2CF9AE}" pid="6" name="summary">
    <vt:lpwstr>Define os padrões que todo entregável, curso de treinamento e versão de software do Setti Group deve atender, e como o Grupo aprende com o retorno dos clientes e com os próprios erros.</vt:lpwstr>
  </property>
  <property fmtid="{D5CDD505-2E9C-101B-9397-08002B2CF9AE}" pid="7" name="version">
    <vt:lpwstr>1.0</vt:lpwstr>
  </property>
</Properties>
</file>