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Quality and Continuous Improvement Policy</w:t>
      </w:r>
    </w:p>
    <w:bookmarkStart w:id="20" w:name="purpose-and-scope"/>
    <w:p>
      <w:pPr>
        <w:pStyle w:val="Heading2"/>
      </w:pPr>
      <w:r>
        <w:t xml:space="preserve">Purpose and scope</w:t>
      </w:r>
    </w:p>
    <w:p>
      <w:pPr>
        <w:pStyle w:val="FirstParagraph"/>
      </w:pPr>
      <w:r>
        <w:t xml:space="preserve">Clients hire Setti Group for advice they can act on and for software they can rely on. This policy sets the quality standards for everything the Group issues under its name and the mechanism by which it improves.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consulting deliverables (audit and inspection reports, risk assessments, incident investigations, management-system documents, gap analyses), training (including IOSH Managing Safely courses), the software platforms Arcas GRC and SetFit, and the Group’s commodity trade intermediation services. It binds everyone who produces work under the Group’s name, including associates and subcontracted specialists.</w:t>
      </w:r>
    </w:p>
    <w:bookmarkEnd w:id="20"/>
    <w:bookmarkStart w:id="21" w:name="policy-statement"/>
    <w:p>
      <w:pPr>
        <w:pStyle w:val="Heading2"/>
      </w:pPr>
      <w:r>
        <w:t xml:space="preserve">Policy statement</w:t>
      </w:r>
    </w:p>
    <w:p>
      <w:pPr>
        <w:pStyle w:val="FirstParagraph"/>
      </w:pPr>
      <w:r>
        <w:t xml:space="preserve">Setti Group commits to delivering work that is accurate, complete, traceable to evidence, and fit for the decision the client needs to make. Every deliverable is reviewed by a second person before it is issued. Client feedback is sought on every engagement and acted on. Errors are corrected openly, at the Group’s cost where the Group is at fault, and their causes are removed so they do not recur.</w:t>
      </w:r>
    </w:p>
    <w:p>
      <w:pPr>
        <w:pStyle w:val="BodyText"/>
      </w:pPr>
      <w:r>
        <w:t xml:space="preserve">The Group uses ISO 9001 (quality management) as a reference framework. It is not certified to ISO 9001 and does not claim to be.</w:t>
      </w:r>
    </w:p>
    <w:bookmarkEnd w:id="21"/>
    <w:bookmarkStart w:id="22" w:name="definitions"/>
    <w:p>
      <w:pPr>
        <w:pStyle w:val="Heading2"/>
      </w:pPr>
      <w:r>
        <w:t xml:space="preserve">Definitions</w:t>
      </w:r>
    </w:p>
    <w:p>
      <w:pPr>
        <w:numPr>
          <w:ilvl w:val="0"/>
          <w:numId w:val="1001"/>
        </w:numPr>
        <w:pStyle w:val="Compact"/>
      </w:pPr>
      <w:r>
        <w:rPr>
          <w:bCs/>
          <w:b/>
        </w:rPr>
        <w:t xml:space="preserve">Deliverable</w:t>
      </w:r>
      <w:r>
        <w:t xml:space="preserve">: any report, assessment, document, dataset, training course or software release issued to a client or user under the Group’s name.</w:t>
      </w:r>
    </w:p>
    <w:p>
      <w:pPr>
        <w:numPr>
          <w:ilvl w:val="0"/>
          <w:numId w:val="1001"/>
        </w:numPr>
        <w:pStyle w:val="Compact"/>
      </w:pPr>
      <w:r>
        <w:rPr>
          <w:bCs/>
          <w:b/>
        </w:rPr>
        <w:t xml:space="preserve">Finding</w:t>
      </w:r>
      <w:r>
        <w:t xml:space="preserve">: an observation in a consulting deliverable that identifies a hazard, gap, non-conformity or opportunity.</w:t>
      </w:r>
    </w:p>
    <w:p>
      <w:pPr>
        <w:numPr>
          <w:ilvl w:val="0"/>
          <w:numId w:val="1001"/>
        </w:numPr>
        <w:pStyle w:val="Compact"/>
      </w:pPr>
      <w:r>
        <w:rPr>
          <w:bCs/>
          <w:b/>
        </w:rPr>
        <w:t xml:space="preserve">Peer review</w:t>
      </w:r>
      <w:r>
        <w:t xml:space="preserve">: review of a deliverable by a competent person other than its author, before issue.</w:t>
      </w:r>
    </w:p>
    <w:p>
      <w:pPr>
        <w:numPr>
          <w:ilvl w:val="0"/>
          <w:numId w:val="1001"/>
        </w:numPr>
        <w:pStyle w:val="Compact"/>
      </w:pPr>
      <w:r>
        <w:rPr>
          <w:bCs/>
          <w:b/>
        </w:rPr>
        <w:t xml:space="preserve">Corrective action</w:t>
      </w:r>
      <w:r>
        <w:t xml:space="preserve">: an action taken to remove the cause of a detected error or non-conformity so that it does not recur.</w:t>
      </w:r>
    </w:p>
    <w:p>
      <w:pPr>
        <w:numPr>
          <w:ilvl w:val="0"/>
          <w:numId w:val="1001"/>
        </w:numPr>
        <w:pStyle w:val="Compact"/>
      </w:pPr>
      <w:r>
        <w:rPr>
          <w:bCs/>
          <w:b/>
        </w:rPr>
        <w:t xml:space="preserve">Release</w:t>
      </w:r>
      <w:r>
        <w:t xml:space="preserve">: a version of Arcas GRC or SetFit made available to production users.</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approves the deliverable templates, acts as peer reviewer or nominates one, signs off every consulting deliverable before issue, approves every production software release, reviews client feedback and corrective actions, and reports quality performance in the annual review.</w:t>
      </w:r>
    </w:p>
    <w:p>
      <w:pPr>
        <w:pStyle w:val="BodyText"/>
      </w:pPr>
      <w:r>
        <w:rPr>
          <w:bCs/>
          <w:b/>
        </w:rPr>
        <w:t xml:space="preserve">Authors</w:t>
      </w:r>
      <w:r>
        <w:t xml:space="preserve"> </w:t>
      </w:r>
      <w:r>
        <w:t xml:space="preserve">(employees, associates, subcontracted specialists) produce work to the standards below, self-check it against the checklist for that deliverable type, and respond to peer-review comments before issue.</w:t>
      </w:r>
    </w:p>
    <w:p>
      <w:pPr>
        <w:pStyle w:val="BodyText"/>
      </w:pPr>
      <w:r>
        <w:rPr>
          <w:bCs/>
          <w:b/>
        </w:rPr>
        <w:t xml:space="preserve">Peer reviewers</w:t>
      </w:r>
      <w:r>
        <w:t xml:space="preserve"> </w:t>
      </w:r>
      <w:r>
        <w:t xml:space="preserve">check the deliverable against the requirements below and record their review. A peer reviewer must not be the author.</w:t>
      </w:r>
    </w:p>
    <w:p>
      <w:pPr>
        <w:pStyle w:val="BodyText"/>
      </w:pPr>
      <w:r>
        <w:rPr>
          <w:bCs/>
          <w:b/>
        </w:rPr>
        <w:t xml:space="preserve">Trainers</w:t>
      </w:r>
      <w:r>
        <w:t xml:space="preserve"> </w:t>
      </w:r>
      <w:r>
        <w:t xml:space="preserve">deliver courses to the approved syllabus and assessment standard and collect delegate feedback.</w:t>
      </w:r>
    </w:p>
    <w:p>
      <w:pPr>
        <w:pStyle w:val="BodyText"/>
      </w:pPr>
      <w:r>
        <w:rPr>
          <w:bCs/>
          <w:b/>
        </w:rPr>
        <w:t xml:space="preserve">Developers</w:t>
      </w:r>
      <w:r>
        <w:t xml:space="preserve"> </w:t>
      </w:r>
      <w:r>
        <w:t xml:space="preserve">of Arcas GRC and SetFit follow the release requirements below.</w:t>
      </w:r>
    </w:p>
    <w:bookmarkEnd w:id="23"/>
    <w:bookmarkStart w:id="24" w:name="requirements"/>
    <w:p>
      <w:pPr>
        <w:pStyle w:val="Heading2"/>
      </w:pPr>
      <w:r>
        <w:t xml:space="preserve">Requirements</w:t>
      </w:r>
    </w:p>
    <w:p>
      <w:pPr>
        <w:numPr>
          <w:ilvl w:val="0"/>
          <w:numId w:val="1002"/>
        </w:numPr>
        <w:pStyle w:val="Compact"/>
      </w:pPr>
      <w:r>
        <w:rPr>
          <w:bCs/>
          <w:b/>
        </w:rPr>
        <w:t xml:space="preserve">Scope agreed in writing.</w:t>
      </w:r>
      <w:r>
        <w:t xml:space="preserve"> </w:t>
      </w:r>
      <w:r>
        <w:t xml:space="preserve">Every engagement starts with a written scope stating the deliverables, the standard or criteria against which work is assessed, the evidence to be reviewed, the site access required, and the delivery date. Changes of scope are agreed in writing before the work is done.</w:t>
      </w:r>
    </w:p>
    <w:p>
      <w:pPr>
        <w:numPr>
          <w:ilvl w:val="0"/>
          <w:numId w:val="1002"/>
        </w:numPr>
        <w:pStyle w:val="Compact"/>
      </w:pPr>
      <w:r>
        <w:rPr>
          <w:bCs/>
          <w:b/>
        </w:rPr>
        <w:t xml:space="preserve">Every finding is complete.</w:t>
      </w:r>
      <w:r>
        <w:t xml:space="preserve"> </w:t>
      </w:r>
      <w:r>
        <w:t xml:space="preserve">Each finding in a consulting deliverable carries, at minimum: (a) a description referenced to the evidence observed, (b) a risk score using the scoring matrix stated in the report, (c) a recommended control selected according to the hierarchy of controls, (d) a proposed owner on the client side, (e) a proposed timescale, and (f) the residual risk expected once the control is in place. A finding missing any of these is not issued.</w:t>
      </w:r>
    </w:p>
    <w:p>
      <w:pPr>
        <w:numPr>
          <w:ilvl w:val="0"/>
          <w:numId w:val="1002"/>
        </w:numPr>
        <w:pStyle w:val="Compact"/>
      </w:pPr>
      <w:r>
        <w:rPr>
          <w:bCs/>
          <w:b/>
        </w:rPr>
        <w:t xml:space="preserve">Evidence is traceable.</w:t>
      </w:r>
      <w:r>
        <w:t xml:space="preserve"> </w:t>
      </w:r>
      <w:r>
        <w:t xml:space="preserve">Findings cite the document, record, interview, measurement or photograph they rest on. Photographs are dated and located. Opinions are labelled as such.</w:t>
      </w:r>
    </w:p>
    <w:p>
      <w:pPr>
        <w:numPr>
          <w:ilvl w:val="0"/>
          <w:numId w:val="1002"/>
        </w:numPr>
        <w:pStyle w:val="Compact"/>
      </w:pPr>
      <w:r>
        <w:rPr>
          <w:bCs/>
          <w:b/>
        </w:rPr>
        <w:t xml:space="preserve">Templates and version control.</w:t>
      </w:r>
      <w:r>
        <w:t xml:space="preserve"> </w:t>
      </w:r>
      <w:r>
        <w:t xml:space="preserve">Deliverables use the current Group template for that deliverable type. Every issued document carries a version number, issue date, author, reviewer and distribution. Drafts are marked as drafts.</w:t>
      </w:r>
    </w:p>
    <w:p>
      <w:pPr>
        <w:numPr>
          <w:ilvl w:val="0"/>
          <w:numId w:val="1002"/>
        </w:numPr>
        <w:pStyle w:val="Compact"/>
      </w:pPr>
      <w:r>
        <w:rPr>
          <w:bCs/>
          <w:b/>
        </w:rPr>
        <w:t xml:space="preserve">Peer review before issue.</w:t>
      </w:r>
      <w:r>
        <w:t xml:space="preserve"> </w:t>
      </w:r>
      <w:r>
        <w:t xml:space="preserve">No consulting deliverable is issued without documented peer review by a competent person who is not the author. The reviewer checks technical accuracy, completeness of every finding under requirement 2, legal references, arithmetic, consistency with the agreed scope, and readability. Where the Group’s only competent reviewer is the author, an external associate is engaged as reviewer under the Subcontracting and Specialist Partner Policy.</w:t>
      </w:r>
    </w:p>
    <w:p>
      <w:pPr>
        <w:numPr>
          <w:ilvl w:val="0"/>
          <w:numId w:val="1002"/>
        </w:numPr>
        <w:pStyle w:val="Compact"/>
      </w:pPr>
      <w:r>
        <w:rPr>
          <w:bCs/>
          <w:b/>
        </w:rPr>
        <w:t xml:space="preserve">Legal references are current.</w:t>
      </w:r>
      <w:r>
        <w:t xml:space="preserve"> </w:t>
      </w:r>
      <w:r>
        <w:t xml:space="preserve">Every citation of a law, regulation or standard is checked against the current text before issue. Standards are cited as reference frameworks, not as certifications held by the Group or the client unless the client has provided the certificate.</w:t>
      </w:r>
    </w:p>
    <w:p>
      <w:pPr>
        <w:numPr>
          <w:ilvl w:val="0"/>
          <w:numId w:val="1002"/>
        </w:numPr>
        <w:pStyle w:val="Compact"/>
      </w:pPr>
      <w:r>
        <w:rPr>
          <w:bCs/>
          <w:b/>
        </w:rPr>
        <w:t xml:space="preserve">Plain language.</w:t>
      </w:r>
      <w:r>
        <w:t xml:space="preserve"> </w:t>
      </w:r>
      <w:r>
        <w:t xml:space="preserve">Deliverables are written for the person who must act on them. Executive summaries state the three to five most important findings and what they require. Technical annexes carry the detail.</w:t>
      </w:r>
    </w:p>
    <w:p>
      <w:pPr>
        <w:numPr>
          <w:ilvl w:val="0"/>
          <w:numId w:val="1002"/>
        </w:numPr>
        <w:pStyle w:val="Compact"/>
      </w:pPr>
      <w:r>
        <w:rPr>
          <w:bCs/>
          <w:b/>
        </w:rPr>
        <w:t xml:space="preserve">Training quality.</w:t>
      </w:r>
      <w:r>
        <w:t xml:space="preserve"> </w:t>
      </w:r>
      <w:r>
        <w:t xml:space="preserve">IOSH Managing Safely and other courses are delivered to the approved syllabus by trainers who meet the standards in the Training and Competence Policy. Delegate assessments are marked against the published marking scheme. Delegate feedback is collected at the end of every course and reviewed by the Founder &amp; Principal within ten working days.</w:t>
      </w:r>
    </w:p>
    <w:p>
      <w:pPr>
        <w:numPr>
          <w:ilvl w:val="0"/>
          <w:numId w:val="1002"/>
        </w:numPr>
        <w:pStyle w:val="Compact"/>
      </w:pPr>
      <w:r>
        <w:rPr>
          <w:bCs/>
          <w:b/>
        </w:rPr>
        <w:t xml:space="preserve">Software release quality for Arcas GRC and SetFit.</w:t>
      </w:r>
      <w:r>
        <w:t xml:space="preserve"> </w:t>
      </w:r>
      <w:r>
        <w:t xml:space="preserve">A release goes to production only when: (a) automated tests pass on the release candidate, (b) changes affecting authentication, authorisation, payment, data export or data deletion have been reviewed by a second person, (c) release notes are written, (d) a rollback path is confirmed, and (e) the Founder &amp; Principal has approved the release. For SetFit, any change to how personal data, and in particular body-composition and fitness measurements (health-related data), is collected, stored, shared or deleted also requires review against the Privacy and Data Protection Policy before release. Defects that expose personal data, block login or corrupt user data are treated as critical and fixed or rolled back within 24 hours.</w:t>
      </w:r>
    </w:p>
    <w:p>
      <w:pPr>
        <w:numPr>
          <w:ilvl w:val="0"/>
          <w:numId w:val="1002"/>
        </w:numPr>
        <w:pStyle w:val="Compact"/>
      </w:pPr>
      <w:r>
        <w:rPr>
          <w:bCs/>
          <w:b/>
        </w:rPr>
        <w:t xml:space="preserve">Client feedback.</w:t>
      </w:r>
      <w:r>
        <w:t xml:space="preserve"> </w:t>
      </w:r>
      <w:r>
        <w:t xml:space="preserve">At the close of every consulting engagement and every course, the Group asks the client for structured feedback on accuracy, usefulness, communication and timeliness. For Arcas GRC and SetFit, in-product feedback and support tickets are reviewed weekly. Feedback is logged and discussed in the monthly operations review.</w:t>
      </w:r>
    </w:p>
    <w:p>
      <w:pPr>
        <w:numPr>
          <w:ilvl w:val="0"/>
          <w:numId w:val="1002"/>
        </w:numPr>
        <w:pStyle w:val="Compact"/>
      </w:pPr>
      <w:r>
        <w:rPr>
          <w:bCs/>
          <w:b/>
        </w:rPr>
        <w:t xml:space="preserve">Errors and corrective actions.</w:t>
      </w:r>
      <w:r>
        <w:t xml:space="preserve"> </w:t>
      </w:r>
      <w:r>
        <w:t xml:space="preserve">When an error is found in an issued deliverable, the client is informed within two working days, a corrected version is issued, and the cause is recorded. Errors, complaints, failed releases and repeated feedback themes are entered in the corrective-action log with a root cause, an action, an owner and a due date, and are tracked to closure by the Founder &amp; Principal.</w:t>
      </w:r>
    </w:p>
    <w:p>
      <w:pPr>
        <w:numPr>
          <w:ilvl w:val="0"/>
          <w:numId w:val="1002"/>
        </w:numPr>
        <w:pStyle w:val="Compact"/>
      </w:pPr>
      <w:r>
        <w:rPr>
          <w:bCs/>
          <w:b/>
        </w:rPr>
        <w:t xml:space="preserve">Complaints.</w:t>
      </w:r>
      <w:r>
        <w:t xml:space="preserve"> </w:t>
      </w:r>
      <w:r>
        <w:t xml:space="preserve">Client complaints are acknowledged within two working days and answered in writing within ten working days. Where the Group is at fault, it corrects the work at its own cost.</w:t>
      </w:r>
    </w:p>
    <w:p>
      <w:pPr>
        <w:numPr>
          <w:ilvl w:val="0"/>
          <w:numId w:val="1002"/>
        </w:numPr>
        <w:pStyle w:val="Compact"/>
      </w:pPr>
      <w:r>
        <w:rPr>
          <w:bCs/>
          <w:b/>
        </w:rPr>
        <w:t xml:space="preserve">Continuous improvement.</w:t>
      </w:r>
      <w:r>
        <w:t xml:space="preserve"> </w:t>
      </w:r>
      <w:r>
        <w:t xml:space="preserve">Templates, checklists, the scoring matrix, course materials and release procedures are reviewed at least annually, using the corrective-action log, feedback and changes in law or standards as inputs. Improvements are recorded with the version change.</w:t>
      </w:r>
    </w:p>
    <w:p>
      <w:pPr>
        <w:numPr>
          <w:ilvl w:val="0"/>
          <w:numId w:val="1002"/>
        </w:numPr>
        <w:pStyle w:val="Compact"/>
      </w:pPr>
      <w:r>
        <w:rPr>
          <w:bCs/>
          <w:b/>
        </w:rPr>
        <w:t xml:space="preserve">Records.</w:t>
      </w:r>
      <w:r>
        <w:t xml:space="preserve"> </w:t>
      </w:r>
      <w:r>
        <w:t xml:space="preserve">Engagement files (scope, evidence, drafts, peer-review record, issued deliverable, feedback) are retained for at least seven years, or longer where a contract or law requires, in the Group’s cloud document system.</w:t>
      </w:r>
    </w:p>
    <w:bookmarkEnd w:id="24"/>
    <w:bookmarkStart w:id="25" w:name="reporting-breaches-and-consequences"/>
    <w:p>
      <w:pPr>
        <w:pStyle w:val="Heading2"/>
      </w:pPr>
      <w:r>
        <w:t xml:space="preserve">Reporting, breaches and consequences</w:t>
      </w:r>
    </w:p>
    <w:p>
      <w:pPr>
        <w:pStyle w:val="FirstParagraph"/>
      </w:pPr>
      <w:r>
        <w:t xml:space="preserve">Anyone who becomes aware of an error in an issued deliverable, a deliverable issued without peer review, a release made without approval, or any other breach of this policy must report it to the Founder &amp; Principal or to compliance@settigroup.com (to be created). Reports may also be made to speakup@settigroup.com (to be created) or by post to the registered address, and may be anonymous.</w:t>
      </w:r>
    </w:p>
    <w:p>
      <w:pPr>
        <w:pStyle w:val="BodyText"/>
      </w:pPr>
      <w:r>
        <w:t xml:space="preserve">Issuing work under the Group’s name without peer review, fabricating or altering evidence, or concealing a known error is a serious breach and may result in termination of employment or of an associate or subcontractor agreement. Honest mistakes reported promptly are treated as learning opportunities, not disciplinary matters.</w:t>
      </w:r>
    </w:p>
    <w:bookmarkEnd w:id="25"/>
    <w:bookmarkStart w:id="26" w:name="related-policies-and-references"/>
    <w:p>
      <w:pPr>
        <w:pStyle w:val="Heading2"/>
      </w:pPr>
      <w:r>
        <w:t xml:space="preserve">Related policies and references</w:t>
      </w:r>
    </w:p>
    <w:p>
      <w:pPr>
        <w:numPr>
          <w:ilvl w:val="0"/>
          <w:numId w:val="1003"/>
        </w:numPr>
        <w:pStyle w:val="Compact"/>
      </w:pPr>
      <w:r>
        <w:t xml:space="preserve">Training and Competence Policy</w:t>
      </w:r>
    </w:p>
    <w:p>
      <w:pPr>
        <w:numPr>
          <w:ilvl w:val="0"/>
          <w:numId w:val="1003"/>
        </w:numPr>
        <w:pStyle w:val="Compact"/>
      </w:pPr>
      <w:r>
        <w:t xml:space="preserve">Subcontracting and Specialist Partner Policy</w:t>
      </w:r>
    </w:p>
    <w:p>
      <w:pPr>
        <w:numPr>
          <w:ilvl w:val="0"/>
          <w:numId w:val="1003"/>
        </w:numPr>
        <w:pStyle w:val="Compact"/>
      </w:pPr>
      <w:r>
        <w:t xml:space="preserve">Health, Safety, Security and Environment Policy</w:t>
      </w:r>
    </w:p>
    <w:p>
      <w:pPr>
        <w:numPr>
          <w:ilvl w:val="0"/>
          <w:numId w:val="1003"/>
        </w:numPr>
        <w:pStyle w:val="Compact"/>
      </w:pPr>
      <w:r>
        <w:t xml:space="preserve">Business Continuity Policy</w:t>
      </w:r>
    </w:p>
    <w:p>
      <w:pPr>
        <w:numPr>
          <w:ilvl w:val="0"/>
          <w:numId w:val="1003"/>
        </w:numPr>
        <w:pStyle w:val="Compact"/>
      </w:pPr>
      <w:r>
        <w:t xml:space="preserve">Privacy and Data Protection Policy</w:t>
      </w:r>
    </w:p>
    <w:p>
      <w:pPr>
        <w:numPr>
          <w:ilvl w:val="0"/>
          <w:numId w:val="1003"/>
        </w:numPr>
        <w:pStyle w:val="Compact"/>
      </w:pPr>
      <w:r>
        <w:t xml:space="preserve">Information Security Policy</w:t>
      </w:r>
    </w:p>
    <w:p>
      <w:pPr>
        <w:numPr>
          <w:ilvl w:val="0"/>
          <w:numId w:val="1003"/>
        </w:numPr>
        <w:pStyle w:val="Compact"/>
      </w:pPr>
      <w:r>
        <w:t xml:space="preserve">Code of Conduct</w:t>
      </w:r>
    </w:p>
    <w:p>
      <w:pPr>
        <w:numPr>
          <w:ilvl w:val="0"/>
          <w:numId w:val="1003"/>
        </w:numPr>
        <w:pStyle w:val="Compact"/>
      </w:pPr>
      <w:r>
        <w:t xml:space="preserve">ISO 9001 (reference framework; the Group is not certified)</w:t>
      </w:r>
    </w:p>
    <w:p>
      <w:pPr>
        <w:numPr>
          <w:ilvl w:val="0"/>
          <w:numId w:val="1003"/>
        </w:numPr>
        <w:pStyle w:val="Compact"/>
      </w:pPr>
      <w:r>
        <w:t xml:space="preserve">ISO/IEC 27001 (reference framework for software release and information security; the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This policy is reviewed annually or on any material change of law, of the Group’s services, or of the standards it references. Questions go to compliance@settigroup.com (to be created).</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and Continuous Improvement Policy</dc:title>
  <dc:creator/>
  <dc:language>en</dc:language>
  <cp:keywords/>
  <dcterms:created xsi:type="dcterms:W3CDTF">2026-09-26T10:52:24Z</dcterms:created>
  <dcterms:modified xsi:type="dcterms:W3CDTF">2026-09-26T10:52:24Z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quality-policy</vt:lpwstr>
  </property>
  <property fmtid="{D5CDD505-2E9C-101B-9397-08002B2CF9AE}" pid="5" name="owner">
    <vt:lpwstr>Founder &amp; Principal, Setti Group</vt:lpwstr>
  </property>
  <property fmtid="{D5CDD505-2E9C-101B-9397-08002B2CF9AE}" pid="6" name="summary">
    <vt:lpwstr>Defines the standards every Setti Group deliverable, training course and software release must meet, and how the Group learns from client feedback and its own mistakes.</vt:lpwstr>
  </property>
  <property fmtid="{D5CDD505-2E9C-101B-9397-08002B2CF9AE}" pid="7" name="version">
    <vt:lpwstr>1.0</vt:lpwstr>
  </property>
</Properties>
</file>