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 Rights and Labour Standards Policy</w:t>
      </w:r>
    </w:p>
    <w:bookmarkStart w:id="20" w:name="purpose-and-scope"/>
    <w:p>
      <w:pPr>
        <w:pStyle w:val="Heading2"/>
      </w:pPr>
      <w:r>
        <w:t xml:space="preserve">Purpose and scope</w:t>
      </w:r>
    </w:p>
    <w:p>
      <w:pPr>
        <w:pStyle w:val="FirstParagraph"/>
      </w:pPr>
      <w:r>
        <w:t xml:space="preserve">This policy states how Setti Group respects human rights and labour standards in its own work and what it expects of the people and companies it works with. It applies to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It covers the Group’s employees, associates and subcontractors; its suppliers of goods and services; and the counterparties in its commodity trade intermediation, including the trading partner BS Agrícola Ltda (Londrina, PR) and the producers, buyers, logistics providers and agents in those transactions. It also covers the way the Group’s consulting advice and its software platforms, Arcas GRC and SetFit, affect the rights of workers and users.</w:t>
      </w:r>
    </w:p>
    <w:p>
      <w:pPr>
        <w:pStyle w:val="BodyText"/>
      </w:pPr>
      <w:r>
        <w:t xml:space="preserve">This policy also serves as the Group’s statement on modern slavery and human trafficking.</w:t>
      </w:r>
    </w:p>
    <w:bookmarkEnd w:id="20"/>
    <w:bookmarkStart w:id="21" w:name="policy-statement"/>
    <w:p>
      <w:pPr>
        <w:pStyle w:val="Heading2"/>
      </w:pPr>
      <w:r>
        <w:t xml:space="preserve">Policy statement</w:t>
      </w:r>
    </w:p>
    <w:p>
      <w:pPr>
        <w:pStyle w:val="FirstParagraph"/>
      </w:pPr>
      <w:r>
        <w:t xml:space="preserve">Setti Group respects the human rights set out in the International Bill of Human Rights and the ILO Declaration on Fundamental Principles and Rights at Work, and applies the UN Guiding Principles on Business and Human Rights. The Group does not use, and will not knowingly benefit from, forced labour, bonded labour, child labour or human trafficking anywhere in its operations or supply chain. It treats everyone who works for it with dignity, pays fairly and on time, respects working-time limits, and does not discriminate.</w:t>
      </w:r>
    </w:p>
    <w:p>
      <w:pPr>
        <w:pStyle w:val="BodyText"/>
      </w:pPr>
      <w:r>
        <w:t xml:space="preserve">Where national law and international standards differ, the Group complies with the law and applies the higher standard where it can lawfully do so. Where the Group learns that a partner or counterparty is causing or contributing to a human rights abuse, it uses its influence to stop the abuse and, failing that, ends the relationship.</w:t>
      </w:r>
    </w:p>
    <w:bookmarkEnd w:id="21"/>
    <w:bookmarkStart w:id="22" w:name="definitions"/>
    <w:p>
      <w:pPr>
        <w:pStyle w:val="Heading2"/>
      </w:pPr>
      <w:r>
        <w:t xml:space="preserve">Definitions</w:t>
      </w:r>
    </w:p>
    <w:p>
      <w:pPr>
        <w:numPr>
          <w:ilvl w:val="0"/>
          <w:numId w:val="1001"/>
        </w:numPr>
        <w:pStyle w:val="Compact"/>
      </w:pPr>
      <w:r>
        <w:rPr>
          <w:bCs/>
          <w:b/>
        </w:rPr>
        <w:t xml:space="preserve">Forced labour</w:t>
      </w:r>
      <w:r>
        <w:t xml:space="preserve">: any work exacted under threat of penalty and for which the person has not offered themselves voluntarily, including work secured by debt, retention of identity documents, or unpaid recruitment fees charged to the worker.</w:t>
      </w:r>
    </w:p>
    <w:p>
      <w:pPr>
        <w:numPr>
          <w:ilvl w:val="0"/>
          <w:numId w:val="1001"/>
        </w:numPr>
        <w:pStyle w:val="Compact"/>
      </w:pPr>
      <w:r>
        <w:rPr>
          <w:bCs/>
          <w:b/>
        </w:rPr>
        <w:t xml:space="preserve">Child labour</w:t>
      </w:r>
      <w:r>
        <w:t xml:space="preserve">: work by anyone under 15, or under the higher minimum age set by local law, and any hazardous work by anyone under 18.</w:t>
      </w:r>
    </w:p>
    <w:p>
      <w:pPr>
        <w:numPr>
          <w:ilvl w:val="0"/>
          <w:numId w:val="1001"/>
        </w:numPr>
        <w:pStyle w:val="Compact"/>
      </w:pPr>
      <w:r>
        <w:rPr>
          <w:bCs/>
          <w:b/>
        </w:rPr>
        <w:t xml:space="preserve">Modern slavery</w:t>
      </w:r>
      <w:r>
        <w:t xml:space="preserve">: forced labour, bonded labour, servitude and human trafficking.</w:t>
      </w:r>
    </w:p>
    <w:p>
      <w:pPr>
        <w:numPr>
          <w:ilvl w:val="0"/>
          <w:numId w:val="1001"/>
        </w:numPr>
        <w:pStyle w:val="Compact"/>
      </w:pPr>
      <w:r>
        <w:rPr>
          <w:bCs/>
          <w:b/>
        </w:rPr>
        <w:t xml:space="preserve">Counterparty</w:t>
      </w:r>
      <w:r>
        <w:t xml:space="preserve">: any party to a commodity transaction the Group intermediates, and the agents and service providers involved in it.</w:t>
      </w:r>
    </w:p>
    <w:p>
      <w:pPr>
        <w:numPr>
          <w:ilvl w:val="0"/>
          <w:numId w:val="1001"/>
        </w:numPr>
        <w:pStyle w:val="Compact"/>
      </w:pPr>
      <w:r>
        <w:rPr>
          <w:bCs/>
          <w:b/>
        </w:rPr>
        <w:t xml:space="preserve">Grievance</w:t>
      </w:r>
      <w:r>
        <w:t xml:space="preserve">: any complaint about treatment, pay, conditions or rights raised by a worker, partner or affected person.</w:t>
      </w:r>
    </w:p>
    <w:bookmarkEnd w:id="22"/>
    <w:bookmarkStart w:id="23" w:name="responsibilities"/>
    <w:p>
      <w:pPr>
        <w:pStyle w:val="Heading2"/>
      </w:pPr>
      <w:r>
        <w:t xml:space="preserve">Responsibilities</w:t>
      </w:r>
    </w:p>
    <w:p>
      <w:pPr>
        <w:pStyle w:val="FirstParagraph"/>
      </w:pPr>
      <w:r>
        <w:rPr>
          <w:bCs/>
          <w:b/>
        </w:rPr>
        <w:t xml:space="preserve">Founder &amp; Principal</w:t>
      </w:r>
      <w:r>
        <w:t xml:space="preserve"> </w:t>
      </w:r>
      <w:r>
        <w:t xml:space="preserve">owns this policy, approves new subcontractors, suppliers and trade counterparties after due diligence, handles grievances, decides on remediation and on ending relationships, and reports on this policy in the annual review.</w:t>
      </w:r>
    </w:p>
    <w:p>
      <w:pPr>
        <w:pStyle w:val="BodyText"/>
      </w:pPr>
      <w:r>
        <w:rPr>
          <w:bCs/>
          <w:b/>
        </w:rPr>
        <w:t xml:space="preserve">All personnel</w:t>
      </w:r>
      <w:r>
        <w:t xml:space="preserve"> </w:t>
      </w:r>
      <w:r>
        <w:t xml:space="preserve">must treat colleagues, client staff, delegates, users and counterparties with respect, refuse to take part in any practice described in this policy as prohibited, and report concerns.</w:t>
      </w:r>
    </w:p>
    <w:p>
      <w:pPr>
        <w:pStyle w:val="BodyText"/>
      </w:pPr>
      <w:r>
        <w:rPr>
          <w:bCs/>
          <w:b/>
        </w:rPr>
        <w:t xml:space="preserve">Subcontractors, suppliers and counterparties</w:t>
      </w:r>
      <w:r>
        <w:t xml:space="preserve"> </w:t>
      </w:r>
      <w:r>
        <w:t xml:space="preserve">are expected to meet the standards in requirements 9 to 12 and to allow the Group reasonable access to verify them.</w:t>
      </w:r>
    </w:p>
    <w:bookmarkEnd w:id="23"/>
    <w:bookmarkStart w:id="24" w:name="requirements"/>
    <w:p>
      <w:pPr>
        <w:pStyle w:val="Heading2"/>
      </w:pPr>
      <w:r>
        <w:t xml:space="preserve">Requirements</w:t>
      </w:r>
    </w:p>
    <w:p>
      <w:pPr>
        <w:numPr>
          <w:ilvl w:val="0"/>
          <w:numId w:val="1002"/>
        </w:numPr>
        <w:pStyle w:val="Compact"/>
      </w:pPr>
      <w:r>
        <w:rPr>
          <w:bCs/>
          <w:b/>
        </w:rPr>
        <w:t xml:space="preserve">No forced labour.</w:t>
      </w:r>
      <w:r>
        <w:t xml:space="preserve"> </w:t>
      </w:r>
      <w:r>
        <w:t xml:space="preserve">No one working for the Group is required to pay recruitment fees, lodge deposits or surrender identity documents. Everyone is free to leave their employment or engagement with reasonable notice. The Group pays visa and work-permit costs for its UAE employees as required by Federal Decree-Law No. 33/2021.</w:t>
      </w:r>
    </w:p>
    <w:p>
      <w:pPr>
        <w:numPr>
          <w:ilvl w:val="0"/>
          <w:numId w:val="1002"/>
        </w:numPr>
        <w:pStyle w:val="Compact"/>
      </w:pPr>
      <w:r>
        <w:rPr>
          <w:bCs/>
          <w:b/>
        </w:rPr>
        <w:t xml:space="preserve">No child labour.</w:t>
      </w:r>
      <w:r>
        <w:t xml:space="preserve"> </w:t>
      </w:r>
      <w:r>
        <w:t xml:space="preserve">The Group does not employ anyone under 18. Interns and apprentices, where used, are engaged in accordance with UAE Labour Law or the Brazilian CLT and Lei da Aprendizagem provisions, and never in hazardous work.</w:t>
      </w:r>
    </w:p>
    <w:p>
      <w:pPr>
        <w:numPr>
          <w:ilvl w:val="0"/>
          <w:numId w:val="1002"/>
        </w:numPr>
        <w:pStyle w:val="Compact"/>
      </w:pPr>
      <w:r>
        <w:rPr>
          <w:bCs/>
          <w:b/>
        </w:rPr>
        <w:t xml:space="preserve">Freedom of association.</w:t>
      </w:r>
      <w:r>
        <w:t xml:space="preserve"> </w:t>
      </w:r>
      <w:r>
        <w:t xml:space="preserve">The Group respects the right of its employees to join or form trade unions and to bargain collectively where the law permits, and does not penalise anyone for doing so. Where the law restricts these rights, the Group provides parallel means for employees to raise collective concerns with the Founder &amp; Principal.</w:t>
      </w:r>
    </w:p>
    <w:p>
      <w:pPr>
        <w:numPr>
          <w:ilvl w:val="0"/>
          <w:numId w:val="1002"/>
        </w:numPr>
        <w:pStyle w:val="Compact"/>
      </w:pPr>
      <w:r>
        <w:rPr>
          <w:bCs/>
          <w:b/>
        </w:rPr>
        <w:t xml:space="preserve">Non-discrimination and harassment.</w:t>
      </w:r>
      <w:r>
        <w:t xml:space="preserve"> </w:t>
      </w:r>
      <w:r>
        <w:t xml:space="preserve">Recruitment, pay, training, promotion and termination decisions are based on competence and conduct only. The Group does not discriminate on the basis of race, colour, ethnicity, national origin, religion, sex, gender identity, sexual orientation, age, disability, marital status, pregnancy, union membership, political opinion or any other characteristic protected by law. Harassment, bullying and abuse of any kind are prohibited.</w:t>
      </w:r>
    </w:p>
    <w:p>
      <w:pPr>
        <w:numPr>
          <w:ilvl w:val="0"/>
          <w:numId w:val="1002"/>
        </w:numPr>
        <w:pStyle w:val="Compact"/>
      </w:pPr>
      <w:r>
        <w:rPr>
          <w:bCs/>
          <w:b/>
        </w:rPr>
        <w:t xml:space="preserve">Fair wages and hours.</w:t>
      </w:r>
      <w:r>
        <w:t xml:space="preserve"> </w:t>
      </w:r>
      <w:r>
        <w:t xml:space="preserve">Employees are paid at least the legal minimum and, in the UAE, through the Wage Protection System within the period required by law. Working time, rest days, overtime and leave follow Federal Decree-Law No. 33/2021 in the UAE and the CLT (Decreto-Lei 5.452/1943) in Brazil. Associates and subcontractors are paid within the agreed term, which does not exceed 30 days from a correct invoice.</w:t>
      </w:r>
    </w:p>
    <w:p>
      <w:pPr>
        <w:numPr>
          <w:ilvl w:val="0"/>
          <w:numId w:val="1002"/>
        </w:numPr>
        <w:pStyle w:val="Compact"/>
      </w:pPr>
      <w:r>
        <w:rPr>
          <w:bCs/>
          <w:b/>
        </w:rPr>
        <w:t xml:space="preserve">Health and safety.</w:t>
      </w:r>
      <w:r>
        <w:t xml:space="preserve"> </w:t>
      </w:r>
      <w:r>
        <w:t xml:space="preserve">Working conditions meet the standards of the Health, Safety, Security and Environment Policy, including for personnel on client sites and for travel.</w:t>
      </w:r>
    </w:p>
    <w:p>
      <w:pPr>
        <w:numPr>
          <w:ilvl w:val="0"/>
          <w:numId w:val="1002"/>
        </w:numPr>
        <w:pStyle w:val="Compact"/>
      </w:pPr>
      <w:r>
        <w:rPr>
          <w:bCs/>
          <w:b/>
        </w:rPr>
        <w:t xml:space="preserve">Privacy and data.</w:t>
      </w:r>
      <w:r>
        <w:t xml:space="preserve"> </w:t>
      </w:r>
      <w:r>
        <w:t xml:space="preserve">The Group respects the privacy of its employees and of the users of Arcas GRC and SetFit. SetFit processes body-composition and fitness measurements, which are health-related data; the Group collects and uses them only as described in the Privacy and Data Protection Policy, with a lawful basis under Federal Decree-Law No. 45/2021 (UAE PDPL), Lei 13.709/2018 (LGPD) and, where EU users are involved, Regulation (EU) 2016/679 (GDPR). Trainers using SetFit are contractually prohibited from using client health data for any purpose other than delivering the agreed training service.</w:t>
      </w:r>
    </w:p>
    <w:p>
      <w:pPr>
        <w:numPr>
          <w:ilvl w:val="0"/>
          <w:numId w:val="1002"/>
        </w:numPr>
        <w:pStyle w:val="Compact"/>
      </w:pPr>
      <w:r>
        <w:rPr>
          <w:bCs/>
          <w:b/>
        </w:rPr>
        <w:t xml:space="preserve">Consulting advice.</w:t>
      </w:r>
      <w:r>
        <w:t xml:space="preserve"> </w:t>
      </w:r>
      <w:r>
        <w:t xml:space="preserve">The Group’s HSSE advice is not used to help a client evade legal obligations to workers, suppress worker representation, or conceal an incident from the authorities. Where the Group observes an apparent human rights abuse on a client site, it raises it with the client in writing.</w:t>
      </w:r>
    </w:p>
    <w:p>
      <w:pPr>
        <w:numPr>
          <w:ilvl w:val="0"/>
          <w:numId w:val="1002"/>
        </w:numPr>
        <w:pStyle w:val="Compact"/>
      </w:pPr>
      <w:r>
        <w:rPr>
          <w:bCs/>
          <w:b/>
        </w:rPr>
        <w:t xml:space="preserve">Supply chain: due diligence.</w:t>
      </w:r>
      <w:r>
        <w:t xml:space="preserve"> </w:t>
      </w:r>
      <w:r>
        <w:t xml:space="preserve">Before engaging a subcontractor, supplier or trade counterparty, the Group checks its identity, ownership, sanctions status and, for commodity counterparties, its labour and environmental record using publicly available sources and the party’s own declarations. For Brazilian agricultural counterparties, this includes checking the Ministry of Labour’s register of employers found to have subjected workers to conditions analogous to slavery (</w:t>
      </w:r>
      <w:r>
        <w:t xml:space="preserve">“</w:t>
      </w:r>
      <w:r>
        <w:t xml:space="preserve">Lista Suja</w:t>
      </w:r>
      <w:r>
        <w:t xml:space="preserve">”</w:t>
      </w:r>
      <w:r>
        <w:t xml:space="preserve">). A party appearing on that register or under sanctions is not engaged.</w:t>
      </w:r>
    </w:p>
    <w:p>
      <w:pPr>
        <w:numPr>
          <w:ilvl w:val="0"/>
          <w:numId w:val="1002"/>
        </w:numPr>
        <w:pStyle w:val="Compact"/>
      </w:pPr>
      <w:r>
        <w:rPr>
          <w:bCs/>
          <w:b/>
        </w:rPr>
        <w:t xml:space="preserve">Supply chain: contractual expectations.</w:t>
      </w:r>
      <w:r>
        <w:t xml:space="preserve"> </w:t>
      </w:r>
      <w:r>
        <w:t xml:space="preserve">Written agreements with subcontractors, suppliers and counterparties require compliance with the standards in this policy, cooperation with reasonable verification, and prompt notification of any allegation of forced labour, child labour or trafficking in their operations. Commodity transaction documents confirm the origin of the goods.</w:t>
      </w:r>
    </w:p>
    <w:p>
      <w:pPr>
        <w:numPr>
          <w:ilvl w:val="0"/>
          <w:numId w:val="1002"/>
        </w:numPr>
        <w:pStyle w:val="Compact"/>
      </w:pPr>
      <w:r>
        <w:rPr>
          <w:bCs/>
          <w:b/>
        </w:rPr>
        <w:t xml:space="preserve">Supply chain: response.</w:t>
      </w:r>
      <w:r>
        <w:t xml:space="preserve"> </w:t>
      </w:r>
      <w:r>
        <w:t xml:space="preserve">Where a partner or counterparty is found to be in breach, the Group requires a remediation plan with a deadline. If the breach is serious, involves forced or child labour, or is not remedied, the Group ends the relationship and, where required by law, reports it to the authorities.</w:t>
      </w:r>
    </w:p>
    <w:p>
      <w:pPr>
        <w:numPr>
          <w:ilvl w:val="0"/>
          <w:numId w:val="1002"/>
        </w:numPr>
        <w:pStyle w:val="Compact"/>
      </w:pPr>
      <w:r>
        <w:rPr>
          <w:bCs/>
          <w:b/>
        </w:rPr>
        <w:t xml:space="preserve">Commodity trade specifics.</w:t>
      </w:r>
      <w:r>
        <w:t xml:space="preserve"> </w:t>
      </w:r>
      <w:r>
        <w:t xml:space="preserve">The Group does not intermediate transactions in goods it knows or reasonably suspects to have been produced with forced or child labour, or from illegally deforested land in Brazil. It records the basis for its assessment of each new counterparty.</w:t>
      </w:r>
    </w:p>
    <w:p>
      <w:pPr>
        <w:numPr>
          <w:ilvl w:val="0"/>
          <w:numId w:val="1002"/>
        </w:numPr>
        <w:pStyle w:val="Compact"/>
      </w:pPr>
      <w:r>
        <w:rPr>
          <w:bCs/>
          <w:b/>
        </w:rPr>
        <w:t xml:space="preserve">Grievance mechanism.</w:t>
      </w:r>
      <w:r>
        <w:t xml:space="preserve"> </w:t>
      </w:r>
      <w:r>
        <w:t xml:space="preserve">Anyone affected by the Group’s operations or relationships, including workers of partners and counterparties, may raise a grievance through speakup@settigroup.com (to be created), by post to the registered address, or directly with the Founder &amp; Principal. Grievances are acknowledged within five working days and answered within 30 days. The Group does not retaliate against anyone for raising a grievance in good faith and does not tolerate retaliation by its partners.</w:t>
      </w:r>
    </w:p>
    <w:p>
      <w:pPr>
        <w:numPr>
          <w:ilvl w:val="0"/>
          <w:numId w:val="1002"/>
        </w:numPr>
        <w:pStyle w:val="Compact"/>
      </w:pPr>
      <w:r>
        <w:rPr>
          <w:bCs/>
          <w:b/>
        </w:rPr>
        <w:t xml:space="preserve">Remedy.</w:t>
      </w:r>
      <w:r>
        <w:t xml:space="preserve"> </w:t>
      </w:r>
      <w:r>
        <w:t xml:space="preserve">Where the Group has caused or contributed to harm, it provides or cooperates in remediation proportionate to the harm. Where it is linked to harm through a business relationship, it uses its leverage to secure remedy.</w:t>
      </w:r>
    </w:p>
    <w:p>
      <w:pPr>
        <w:numPr>
          <w:ilvl w:val="0"/>
          <w:numId w:val="1002"/>
        </w:numPr>
        <w:pStyle w:val="Compact"/>
      </w:pPr>
      <w:r>
        <w:rPr>
          <w:bCs/>
          <w:b/>
        </w:rPr>
        <w:t xml:space="preserve">Training and awareness.</w:t>
      </w:r>
      <w:r>
        <w:t xml:space="preserve"> </w:t>
      </w:r>
      <w:r>
        <w:t xml:space="preserve">All personnel receive a briefing on this policy at induction and at each annual review. Personnel who approve subcontractors, suppliers or counterparties receive specific briefing on the due-diligence steps in requirement 9.</w:t>
      </w:r>
    </w:p>
    <w:p>
      <w:pPr>
        <w:numPr>
          <w:ilvl w:val="0"/>
          <w:numId w:val="1002"/>
        </w:numPr>
        <w:pStyle w:val="Compact"/>
      </w:pPr>
      <w:r>
        <w:rPr>
          <w:bCs/>
          <w:b/>
        </w:rPr>
        <w:t xml:space="preserve">Public reporting.</w:t>
      </w:r>
      <w:r>
        <w:t xml:space="preserve"> </w:t>
      </w:r>
      <w:r>
        <w:t xml:space="preserve">This policy is published on settigroup.com. The annual review records the due-diligence checks performed, grievances received and their outcome, and any relationship ended under this policy.</w:t>
      </w:r>
    </w:p>
    <w:bookmarkEnd w:id="24"/>
    <w:bookmarkStart w:id="25" w:name="reporting-breaches-and-consequences"/>
    <w:p>
      <w:pPr>
        <w:pStyle w:val="Heading2"/>
      </w:pPr>
      <w:r>
        <w:t xml:space="preserve">Reporting, breaches and consequences</w:t>
      </w:r>
    </w:p>
    <w:p>
      <w:pPr>
        <w:pStyle w:val="FirstParagraph"/>
      </w:pPr>
      <w:r>
        <w:t xml:space="preserve">Concerns about human rights, labour standards or modern slavery in the Group’s operations or supply chain may be reported to the Founder &amp; Principal, to compliance@settigroup.com (to be created) or to speakup@settigroup.com (to be created). Reports may also be made by post to the registered address. Reports may be anonymous, are treated confidentially, and never lead to retaliation when made in good faith.</w:t>
      </w:r>
    </w:p>
    <w:p>
      <w:pPr>
        <w:pStyle w:val="BodyText"/>
      </w:pPr>
      <w:r>
        <w:t xml:space="preserve">Any Group person who takes part in, facilitates or conceals forced labour, child labour, trafficking, discrimination or harassment commits a serious breach and will face disciplinary action up to and including termination of employment or engagement, and referral to the authorities where the law requires. Partners and counterparties in breach face the response in requirement 11.</w:t>
      </w:r>
    </w:p>
    <w:bookmarkEnd w:id="25"/>
    <w:bookmarkStart w:id="26" w:name="related-policies-and-references"/>
    <w:p>
      <w:pPr>
        <w:pStyle w:val="Heading2"/>
      </w:pPr>
      <w:r>
        <w:t xml:space="preserve">Related policies and references</w:t>
      </w:r>
    </w:p>
    <w:p>
      <w:pPr>
        <w:numPr>
          <w:ilvl w:val="0"/>
          <w:numId w:val="1003"/>
        </w:numPr>
        <w:pStyle w:val="Compact"/>
      </w:pPr>
      <w:r>
        <w:t xml:space="preserve">Code of Conduct</w:t>
      </w:r>
    </w:p>
    <w:p>
      <w:pPr>
        <w:numPr>
          <w:ilvl w:val="0"/>
          <w:numId w:val="1003"/>
        </w:numPr>
        <w:pStyle w:val="Compact"/>
      </w:pPr>
      <w:r>
        <w:t xml:space="preserve">Health, Safety, Security and Environment Policy</w:t>
      </w:r>
    </w:p>
    <w:p>
      <w:pPr>
        <w:numPr>
          <w:ilvl w:val="0"/>
          <w:numId w:val="1003"/>
        </w:numPr>
        <w:pStyle w:val="Compact"/>
      </w:pPr>
      <w:r>
        <w:t xml:space="preserve">Subcontracting and Specialist Partner Policy</w:t>
      </w:r>
    </w:p>
    <w:p>
      <w:pPr>
        <w:numPr>
          <w:ilvl w:val="0"/>
          <w:numId w:val="1003"/>
        </w:numPr>
        <w:pStyle w:val="Compact"/>
      </w:pPr>
      <w:r>
        <w:t xml:space="preserve">Anti-Bribery and Corruption Policy</w:t>
      </w:r>
    </w:p>
    <w:p>
      <w:pPr>
        <w:numPr>
          <w:ilvl w:val="0"/>
          <w:numId w:val="1003"/>
        </w:numPr>
        <w:pStyle w:val="Compact"/>
      </w:pPr>
      <w:r>
        <w:t xml:space="preserve">Sanctions, AML and Know-Your-Counterparty Policy</w:t>
      </w:r>
    </w:p>
    <w:p>
      <w:pPr>
        <w:numPr>
          <w:ilvl w:val="0"/>
          <w:numId w:val="1003"/>
        </w:numPr>
        <w:pStyle w:val="Compact"/>
      </w:pPr>
      <w:r>
        <w:t xml:space="preserve">Privacy and Data Protection Policy</w:t>
      </w:r>
    </w:p>
    <w:p>
      <w:pPr>
        <w:numPr>
          <w:ilvl w:val="0"/>
          <w:numId w:val="1003"/>
        </w:numPr>
        <w:pStyle w:val="Compact"/>
      </w:pPr>
      <w:r>
        <w:t xml:space="preserve">Whistleblowing Policy</w:t>
      </w:r>
    </w:p>
    <w:p>
      <w:pPr>
        <w:numPr>
          <w:ilvl w:val="0"/>
          <w:numId w:val="1003"/>
        </w:numPr>
        <w:pStyle w:val="Compact"/>
      </w:pPr>
      <w:r>
        <w:t xml:space="preserve">UN Guiding Principles on Business and Human Rights</w:t>
      </w:r>
    </w:p>
    <w:p>
      <w:pPr>
        <w:numPr>
          <w:ilvl w:val="0"/>
          <w:numId w:val="1003"/>
        </w:numPr>
        <w:pStyle w:val="Compact"/>
      </w:pPr>
      <w:r>
        <w:t xml:space="preserve">ILO core conventions (Nos. 29, 87, 98, 100, 105, 111, 138, 155, 182, 187)</w:t>
      </w:r>
    </w:p>
    <w:p>
      <w:pPr>
        <w:numPr>
          <w:ilvl w:val="0"/>
          <w:numId w:val="1003"/>
        </w:numPr>
        <w:pStyle w:val="Compact"/>
      </w:pPr>
      <w:r>
        <w:t xml:space="preserve">UAE Federal Decree-Law No. 33/2021 (Labour Law)</w:t>
      </w:r>
    </w:p>
    <w:p>
      <w:pPr>
        <w:numPr>
          <w:ilvl w:val="0"/>
          <w:numId w:val="1003"/>
        </w:numPr>
        <w:pStyle w:val="Compact"/>
      </w:pPr>
      <w:r>
        <w:t xml:space="preserve">Brazil: CLT (Decreto-Lei 5.452/1943)</w:t>
      </w:r>
    </w:p>
    <w:p>
      <w:pPr>
        <w:numPr>
          <w:ilvl w:val="0"/>
          <w:numId w:val="1003"/>
        </w:numPr>
        <w:pStyle w:val="Compact"/>
      </w:pPr>
      <w:r>
        <w:t xml:space="preserve">UAE Federal Decree-Law No. 45/2021 (PDPL); Brazil Lei 13.709/2018 (LGPD); EU Regulation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This policy is reviewed annually or on any material change of law, of the Group’s activities, or of its supply chain. Questions go to compliance@settigroup.com (to be created).</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Rights and Labour Standards Policy</dc:title>
  <dc:creator/>
  <dc:language>en</dc:language>
  <cp:keywords/>
  <dcterms:created xsi:type="dcterms:W3CDTF">2026-09-26T10:52:23Z</dcterms:created>
  <dcterms:modified xsi:type="dcterms:W3CDTF">2026-09-26T10:52:23Z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human-rights-labour</vt:lpwstr>
  </property>
  <property fmtid="{D5CDD505-2E9C-101B-9397-08002B2CF9AE}" pid="5" name="owner">
    <vt:lpwstr>Founder &amp; Principal, Setti Group</vt:lpwstr>
  </property>
  <property fmtid="{D5CDD505-2E9C-101B-9397-08002B2CF9AE}" pid="6" name="summary">
    <vt:lpwstr>States Setti Group’s commitment to respect human rights and fair labour standards in its own operations and to expect the same of its subcontractors, suppliers and commodity trade counterparties, and serves as the Group’s statement against modern slavery.</vt:lpwstr>
  </property>
  <property fmtid="{D5CDD505-2E9C-101B-9397-08002B2CF9AE}" pid="7" name="version">
    <vt:lpwstr>1.0</vt:lpwstr>
  </property>
</Properties>
</file>