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Política de Saúde, Segurança, Segurança Patrimonial e Meio Ambiente</w:t>
      </w:r>
    </w:p>
    <w:bookmarkStart w:id="20" w:name="finalidade-e-abrangência"/>
    <w:p>
      <w:pPr>
        <w:pStyle w:val="Heading2"/>
      </w:pPr>
      <w:r>
        <w:t xml:space="preserve">Finalidade e abrangência</w:t>
      </w:r>
    </w:p>
    <w:p>
      <w:pPr>
        <w:pStyle w:val="FirstParagraph"/>
      </w:pPr>
      <w:r>
        <w:t xml:space="preserve">O Setti Group orienta outras organizações em saúde, segurança, segurança patrimonial e meio ambiente (HSSE). Esta política estabelece os padrões que o Grupo exige de si mesmo. Aplica-se à Setti Group FZC (Sharjah Publishing City Free Zone, Emirados Árabes Unidos) e à Setti Group Ltda (CNPJ 69.086.322/0001-00, Fortaleza, Ceará, Brasil; nome fantasia SetFit), em conjunto</w:t>
      </w:r>
      <w:r>
        <w:t xml:space="preserve"> </w:t>
      </w:r>
      <w:r>
        <w:t xml:space="preserve">“</w:t>
      </w:r>
      <w:r>
        <w:t xml:space="preserve">Setti Group</w:t>
      </w:r>
      <w:r>
        <w:t xml:space="preserve">”</w:t>
      </w:r>
      <w:r>
        <w:t xml:space="preserve"> </w:t>
      </w:r>
      <w:r>
        <w:t xml:space="preserve">ou</w:t>
      </w:r>
      <w:r>
        <w:t xml:space="preserve"> </w:t>
      </w:r>
      <w:r>
        <w:t xml:space="preserve">“</w:t>
      </w:r>
      <w:r>
        <w:t xml:space="preserve">o Grupo</w:t>
      </w:r>
      <w:r>
        <w:t xml:space="preserve">”</w:t>
      </w:r>
      <w:r>
        <w:t xml:space="preserve">.</w:t>
      </w:r>
    </w:p>
    <w:p>
      <w:pPr>
        <w:pStyle w:val="BodyText"/>
      </w:pPr>
      <w:r>
        <w:t xml:space="preserve">Abrange todos que trabalham para o Grupo ou em seu nome: o Fundador e Diretor, empregados, associados, especialistas e instrutores subcontratados, onde quer que trabalhem. Aplica-se ao trabalho nos escritórios do Grupo, ao trabalho remoto, às viagens e, sobretudo, ao trabalho realizado nas instalações de clientes: auditorias, inspeções, investigações de incidentes, cursos de treinamento e visitas a campo. Abrange também a pegada ambiental do próprio Grupo, que é pequena, mas não nula.</w:t>
      </w:r>
    </w:p>
    <w:bookmarkEnd w:id="20"/>
    <w:bookmarkStart w:id="21" w:name="declaração-da-política"/>
    <w:p>
      <w:pPr>
        <w:pStyle w:val="Heading2"/>
      </w:pPr>
      <w:r>
        <w:t xml:space="preserve">Declaração da política</w:t>
      </w:r>
    </w:p>
    <w:p>
      <w:pPr>
        <w:pStyle w:val="FirstParagraph"/>
      </w:pPr>
      <w:r>
        <w:t xml:space="preserve">Ninguém deve sofrer dano em razão do trabalho que o Setti Group realiza. O Grupo se compromete a:</w:t>
      </w:r>
    </w:p>
    <w:p>
      <w:pPr>
        <w:numPr>
          <w:ilvl w:val="0"/>
          <w:numId w:val="1001"/>
        </w:numPr>
        <w:pStyle w:val="Compact"/>
      </w:pPr>
      <w:r>
        <w:t xml:space="preserve">proporcionar condições de trabalho seguras e saudáveis às suas pessoas e prevenir lesões e doenças relacionadas ao trabalho;</w:t>
      </w:r>
    </w:p>
    <w:p>
      <w:pPr>
        <w:numPr>
          <w:ilvl w:val="0"/>
          <w:numId w:val="1001"/>
        </w:numPr>
        <w:pStyle w:val="Compact"/>
      </w:pPr>
      <w:r>
        <w:t xml:space="preserve">cumprir a legislação de SSMA aplicável em cada país onde atua e as regras de cada instalação de cliente que visita;</w:t>
      </w:r>
    </w:p>
    <w:p>
      <w:pPr>
        <w:numPr>
          <w:ilvl w:val="0"/>
          <w:numId w:val="1001"/>
        </w:numPr>
        <w:pStyle w:val="Compact"/>
      </w:pPr>
      <w:r>
        <w:t xml:space="preserve">aplicar a hierarquia de controles aos seus próprios riscos antes de depender de equipamentos de proteção individual ou do comportamento;</w:t>
      </w:r>
    </w:p>
    <w:p>
      <w:pPr>
        <w:numPr>
          <w:ilvl w:val="0"/>
          <w:numId w:val="1001"/>
        </w:numPr>
        <w:pStyle w:val="Compact"/>
      </w:pPr>
      <w:r>
        <w:t xml:space="preserve">conferir a cada pessoa a autoridade e o dever de interromper um trabalho que considere inseguro, sem temor de consequências;</w:t>
      </w:r>
    </w:p>
    <w:p>
      <w:pPr>
        <w:numPr>
          <w:ilvl w:val="0"/>
          <w:numId w:val="1001"/>
        </w:numPr>
        <w:pStyle w:val="Compact"/>
      </w:pPr>
      <w:r>
        <w:t xml:space="preserve">proteger o meio ambiente e prevenir a poluição em suas próprias operações;</w:t>
      </w:r>
    </w:p>
    <w:p>
      <w:pPr>
        <w:numPr>
          <w:ilvl w:val="0"/>
          <w:numId w:val="1001"/>
        </w:numPr>
        <w:pStyle w:val="Compact"/>
      </w:pPr>
      <w:r>
        <w:t xml:space="preserve">consultar suas pessoas sobre temas de SSMA e melhorar continuamente seu desempenho.</w:t>
      </w:r>
    </w:p>
    <w:p>
      <w:pPr>
        <w:pStyle w:val="FirstParagraph"/>
      </w:pPr>
      <w:r>
        <w:t xml:space="preserve">O Setti Group utiliza a ISO 45001 (gestão de saúde e segurança ocupacional) e a ISO 14001 (gestão ambiental) como referenciais. O Grupo não é certificado em nenhuma dessas normas e não afirma sê-lo.</w:t>
      </w:r>
    </w:p>
    <w:bookmarkEnd w:id="21"/>
    <w:bookmarkStart w:id="22" w:name="definições"/>
    <w:p>
      <w:pPr>
        <w:pStyle w:val="Heading2"/>
      </w:pPr>
      <w:r>
        <w:t xml:space="preserve">Definições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Hierarquia de controles</w:t>
      </w:r>
      <w:r>
        <w:t xml:space="preserve">: eliminação, substituição, controles de engenharia, controles administrativos, equipamento de proteção individual (EPI), nessa ordem de preferência.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Autoridade de parada de trabalho</w:t>
      </w:r>
      <w:r>
        <w:t xml:space="preserve">: o direito e o dever de qualquer pessoa de interromper uma atividade que considere insegura até que a preocupação seja resolvida.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Risco de deslocamento</w:t>
      </w:r>
      <w:r>
        <w:t xml:space="preserve">: risco decorrente do trajeto de ida e volta aos locais de trabalho, incluindo direção de veículos, voos e viagens a áreas desconhecidas ou de alto risco.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Incidente</w:t>
      </w:r>
      <w:r>
        <w:t xml:space="preserve">: qualquer evento que causou, ou poderia ter causado, lesão, doença, dano ambiental, dano patrimonial ou prejuízo à segurança, incluindo quase-acidentes.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Instalação de cliente</w:t>
      </w:r>
      <w:r>
        <w:t xml:space="preserve">: qualquer estabelecimento, planta ou local de campo controlado por cliente ou terceiro onde pessoal do Grupo realiza trabalho.</w:t>
      </w:r>
    </w:p>
    <w:bookmarkEnd w:id="22"/>
    <w:bookmarkStart w:id="23" w:name="responsabilidades"/>
    <w:p>
      <w:pPr>
        <w:pStyle w:val="Heading2"/>
      </w:pPr>
      <w:r>
        <w:t xml:space="preserve">Responsabilidades</w:t>
      </w:r>
    </w:p>
    <w:p>
      <w:pPr>
        <w:pStyle w:val="FirstParagraph"/>
      </w:pPr>
      <w:r>
        <w:t xml:space="preserve">O</w:t>
      </w:r>
      <w:r>
        <w:t xml:space="preserve"> </w:t>
      </w:r>
      <w:r>
        <w:rPr>
          <w:bCs/>
          <w:b/>
        </w:rPr>
        <w:t xml:space="preserve">Fundador e Diretor</w:t>
      </w:r>
      <w:r>
        <w:t xml:space="preserve"> </w:t>
      </w:r>
      <w:r>
        <w:t xml:space="preserve">é o responsável por esta política, define os objetivos de SSMA, aprova as avaliações de risco para novos tipos de trabalho, aloca recursos, conduz as investigações de incidentes e relata o desempenho de SSMA na análise crítica anual. É o ponto de escalonamento para qualquer decisão de parada de trabalho contestada por cliente.</w:t>
      </w:r>
    </w:p>
    <w:p>
      <w:pPr>
        <w:pStyle w:val="BodyText"/>
      </w:pPr>
      <w:r>
        <w:rPr>
          <w:bCs/>
          <w:b/>
        </w:rPr>
        <w:t xml:space="preserve">Todo o pessoal</w:t>
      </w:r>
      <w:r>
        <w:t xml:space="preserve"> </w:t>
      </w:r>
      <w:r>
        <w:t xml:space="preserve">(empregados, associados, instrutores e especialistas subcontratados) deve cumprir esta política e as regras das instalações dos clientes, concluir a integração da instalação antes de iniciar o trabalho, usar o EPI especificado para a área, relatar incidentes e quase-acidentes no mesmo dia em que ocorrerem e exercer a autoridade de parada de trabalho quando necessário.</w:t>
      </w:r>
    </w:p>
    <w:p>
      <w:pPr>
        <w:pStyle w:val="BodyText"/>
      </w:pPr>
      <w:r>
        <w:t xml:space="preserve">Aos</w:t>
      </w:r>
      <w:r>
        <w:t xml:space="preserve"> </w:t>
      </w:r>
      <w:r>
        <w:rPr>
          <w:bCs/>
          <w:b/>
        </w:rPr>
        <w:t xml:space="preserve">clientes</w:t>
      </w:r>
      <w:r>
        <w:t xml:space="preserve"> </w:t>
      </w:r>
      <w:r>
        <w:t xml:space="preserve">solicita-se que forneçam integração de segurança, informações sobre os perigos específicos das áreas, um contato de emergência e, quando aplicável, um acompanhante. Quando o cliente não puder fornecê-los, o Fundador e Diretor decide se a visita será realizada.</w:t>
      </w:r>
    </w:p>
    <w:bookmarkEnd w:id="23"/>
    <w:bookmarkStart w:id="24" w:name="requisitos"/>
    <w:p>
      <w:pPr>
        <w:pStyle w:val="Heading2"/>
      </w:pPr>
      <w:r>
        <w:t xml:space="preserve">Requisitos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Avaliação de risco antes do trabalho.</w:t>
      </w:r>
      <w:r>
        <w:t xml:space="preserve"> </w:t>
      </w:r>
      <w:r>
        <w:t xml:space="preserve">Todo novo contrato com cliente que envolva trabalho em campo é avaliado quanto aos riscos antes da primeira visita, cobrindo as atividades a executar, os perigos conhecidos da instalação (processo, altura, espaços confinados, sistemas energizados, tráfego, calor), o risco de deslocamento e a segurança patrimonial. A avaliação é registrada e revisada a cada alteração relevante de escopo.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Hierarquia de controles.</w:t>
      </w:r>
      <w:r>
        <w:t xml:space="preserve"> </w:t>
      </w:r>
      <w:r>
        <w:t xml:space="preserve">Os controles são selecionados na ordem eliminação, substituição, engenharia, administrativos, EPI. A análise remota de documentos e registros substitui a presença em campo sempre que produzir o mesmo resultado. O EPI nunca é o único controle para um perigo significativo.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Regras das instalações dos clientes.</w:t>
      </w:r>
      <w:r>
        <w:t xml:space="preserve"> </w:t>
      </w:r>
      <w:r>
        <w:t xml:space="preserve">O pessoal do Grupo cumpre as regras do cliente de permissão de trabalho, bloqueio e etiquetagem, EPI, acesso, veículos e emergência. Quando os padrões do Grupo forem mais rigorosos que os do cliente, os padrões do Grupo se aplicam ao pessoal do Grupo. O pessoal não entra em espaços confinados, não realiza trabalho em altura e não manuseia equipamentos energizados ou pressurizados como parte do trabalho de consultoria; a observação é feita de posição segura.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Autoridade de parada de trabalho.</w:t>
      </w:r>
      <w:r>
        <w:t xml:space="preserve"> </w:t>
      </w:r>
      <w:r>
        <w:t xml:space="preserve">Qualquer pessoa do Grupo pode interromper o próprio trabalho e pode recomendar a interrupção de trabalho do cliente quando julgar uma atividade insegura. Ninguém será penalizado por uma decisão de parada de trabalho tomada de boa-fé. Os eventos de parada são registrados e analisados pelo Fundador e Diretor em até cinco dias úteis.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Risco de deslocamento e viagens.</w:t>
      </w:r>
      <w:r>
        <w:t xml:space="preserve"> </w:t>
      </w:r>
      <w:r>
        <w:t xml:space="preserve">Antes de viajar, o pessoal verifica os alertas do destino, confirma hospedagem e transporte terrestre e compartilha o itinerário com um contato designado. A direção de veículos é limitada a no máximo dez horas por dia, com pausas a cada duas horas no mínimo; evita-se dirigir à noite em estradas rurais sem iluminação. Motoristas não usam celular com o veículo em movimento. Em voos e viagens a regiões desconhecidas, o pessoal mantém um cronograma de contato com o Fundador e Diretor.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Estresse térmico no Golfo.</w:t>
      </w:r>
      <w:r>
        <w:t xml:space="preserve"> </w:t>
      </w:r>
      <w:r>
        <w:t xml:space="preserve">Durante o período de proibição de trabalho ao meio-dia nos Emirados Árabes Unidos (publicado anualmente pelo Ministério de Recursos Humanos e Emiratização), o trabalho externo em campo é programado fora dos horários proibidos. Em qualquer época do ano, o trabalho externo acima de 38 °C de temperatura equivalente de globo e bulbo úmido ou sob sol direto é limitado a janelas curtas de observação, com descanso à sombra, hidratação a cada 20 minutos e regime de trabalho/descanso acordado com o cliente. O pessoal é instruído sobre os sinais de exaustão pelo calor e insolação, e qualquer pessoa que apresente sintomas interrompe o trabalho imediatamente.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Aptidão para o trabalho.</w:t>
      </w:r>
      <w:r>
        <w:t xml:space="preserve"> </w:t>
      </w:r>
      <w:r>
        <w:t xml:space="preserve">O pessoal não realiza trabalho em campo quando fatigado, indisposto ou sob efeito de álcool ou drogas, incluindo medicamentos prescritos que prejudiquem o estado de alerta. No Brasil, o monitoramento da saúde ocupacional segue a NR-7 (PCMSO) para os empregados da Setti Group Ltda.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Segurança patrimonial.</w:t>
      </w:r>
      <w:r>
        <w:t xml:space="preserve"> </w:t>
      </w:r>
      <w:r>
        <w:t xml:space="preserve">O pessoal cumpre as regras de segurança do cliente e não fotografa nem grava nas instalações do cliente sem autorização por escrito. Visitas a áreas com risco de segurança elevado exigem avaliação de segurança específica e, quando necessário, acompanhante ou transporte fornecido pelo cliente.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Comunicação de incidentes.</w:t>
      </w:r>
      <w:r>
        <w:t xml:space="preserve"> </w:t>
      </w:r>
      <w:r>
        <w:t xml:space="preserve">Todos os incidentes, incluindo quase-acidentes e condições inseguras observadas, são comunicados ao Fundador e Diretor no mesmo dia em que ocorrerem e registrados no registro de incidentes do Grupo em até 48 horas. Incidentes nas instalações de clientes são também comunicados pelo sistema do cliente. Lesões que exijam tratamento médico e qualquer liberação ambiental são investigadas com análise de causa raiz por escrito em até 15 dias úteis, e as ações corretivas são acompanhadas até o encerramento.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Conformidade legal.</w:t>
      </w:r>
      <w:r>
        <w:t xml:space="preserve"> </w:t>
      </w:r>
      <w:r>
        <w:t xml:space="preserve">Nos Emirados Árabes Unidos, o Grupo cumpre o Decreto-Lei Federal nº 33/2021 (Lei do Trabalho) e seus regulamentos de execução sobre segurança ocupacional. No Brasil, a Setti Group Ltda cumpre a CLT (Decreto-Lei 5.452/1943) e as normas regulamentadoras do Ministério do Trabalho, em particular a NR-1 (programa de gerenciamento de riscos, PGR, e disposições gerais) e a NR-7 (saúde ocupacional). As alterações legais são acompanhadas como parte da análise crítica anual.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Treinamento e competência.</w:t>
      </w:r>
      <w:r>
        <w:t xml:space="preserve"> </w:t>
      </w:r>
      <w:r>
        <w:t xml:space="preserve">O trabalho em campo é realizado apenas por pessoas cuja competência para aquele trabalho tenha sido verificada conforme a Política de Treinamento e Competência. O pessoal mantém certificado de primeiros socorros válido quando exigido pelo cliente ou pela natureza do trabalho.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Meio ambiente.</w:t>
      </w:r>
      <w:r>
        <w:t xml:space="preserve"> </w:t>
      </w:r>
      <w:r>
        <w:t xml:space="preserve">O Grupo minimiza seu impacto ambiental adotando reuniões remotas como padrão sempre que atendam à finalidade, consolidando viagens, escolhendo voos diretos, utilizando provedores de infraestrutura em nuvem que publicam compromissos com energia renovável para o Arcas GRC e o SetFit, evitando impressões e descartando equipamentos eletrônicos por meio de recicladores licenciados. No trabalho de consultoria, o Grupo não recomenda controles que transfiram o risco dos trabalhadores para o meio ambiente ou a comunidade.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Preparação para emergências.</w:t>
      </w:r>
      <w:r>
        <w:t xml:space="preserve"> </w:t>
      </w:r>
      <w:r>
        <w:t xml:space="preserve">Antes de cada visita, o pessoal confirma os procedimentos de emergência do cliente, os pontos de encontro e a localização das instalações de primeiros socorros. O Grupo mantém um cartão de contatos de emergência para cada pessoa em trabalho de campo.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Consulta e desempenho.</w:t>
      </w:r>
      <w:r>
        <w:t xml:space="preserve"> </w:t>
      </w:r>
      <w:r>
        <w:t xml:space="preserve">SSMA é item permanente da reunião mensal de análise operacional. O Grupo acompanha dias em campo, incidentes, quase-acidentes, eventos de parada de trabalho, dias de treinamento ministrados e ações corretivas em aberto, e os analisa anualmente.</w:t>
      </w:r>
    </w:p>
    <w:bookmarkEnd w:id="24"/>
    <w:bookmarkStart w:id="25" w:name="comunicação-violações-e-consequências"/>
    <w:p>
      <w:pPr>
        <w:pStyle w:val="Heading2"/>
      </w:pPr>
      <w:r>
        <w:t xml:space="preserve">Comunicação, violações e consequências</w:t>
      </w:r>
    </w:p>
    <w:p>
      <w:pPr>
        <w:pStyle w:val="FirstParagraph"/>
      </w:pPr>
      <w:r>
        <w:t xml:space="preserve">Qualquer pessoa pode comunicar uma preocupação de SSMA, um incidente ou uma violação desta política ao Fundador e Diretor, a compliance@settigroup.com (a ser criado) ou a speakup@settigroup.com (a ser criado). Os relatos também podem ser feitos por correio ao endereço registrado. Podem ser anônimos e são tratados com confidencialidade. Ninguém sofre retaliação por um relato de boa-fé ou por exercer a autoridade de parada de trabalho.</w:t>
      </w:r>
    </w:p>
    <w:p>
      <w:pPr>
        <w:pStyle w:val="BodyText"/>
      </w:pPr>
      <w:r>
        <w:t xml:space="preserve">Violações desta política, incluindo a omissão na comunicação de incidente, o desrespeito às regras das instalações do cliente ou dirigir usando celular, são tratadas como matéria disciplinar. Conforme a gravidade, as consequências vão de retreinamento à rescisão do contrato de trabalho ou do contrato de associado ou subcontratado. Quando a violação também infringir regras do cliente ou a lei, o Grupo coopera plenamente com o cliente e com as autoridades.</w:t>
      </w:r>
    </w:p>
    <w:bookmarkEnd w:id="25"/>
    <w:bookmarkStart w:id="26" w:name="políticas-relacionadas-e-referências"/>
    <w:p>
      <w:pPr>
        <w:pStyle w:val="Heading2"/>
      </w:pPr>
      <w:r>
        <w:t xml:space="preserve">Políticas relacionadas e referências</w:t>
      </w:r>
    </w:p>
    <w:p>
      <w:pPr>
        <w:numPr>
          <w:ilvl w:val="0"/>
          <w:numId w:val="1004"/>
        </w:numPr>
        <w:pStyle w:val="Compact"/>
      </w:pPr>
      <w:r>
        <w:t xml:space="preserve">Política de Treinamento e Competência</w:t>
      </w:r>
    </w:p>
    <w:p>
      <w:pPr>
        <w:numPr>
          <w:ilvl w:val="0"/>
          <w:numId w:val="1004"/>
        </w:numPr>
        <w:pStyle w:val="Compact"/>
      </w:pPr>
      <w:r>
        <w:t xml:space="preserve">Política da Qualidade e Melhoria Contínua</w:t>
      </w:r>
    </w:p>
    <w:p>
      <w:pPr>
        <w:numPr>
          <w:ilvl w:val="0"/>
          <w:numId w:val="1004"/>
        </w:numPr>
        <w:pStyle w:val="Compact"/>
      </w:pPr>
      <w:r>
        <w:t xml:space="preserve">Política de Subcontratação e Parceiros Especialistas</w:t>
      </w:r>
    </w:p>
    <w:p>
      <w:pPr>
        <w:numPr>
          <w:ilvl w:val="0"/>
          <w:numId w:val="1004"/>
        </w:numPr>
        <w:pStyle w:val="Compact"/>
      </w:pPr>
      <w:r>
        <w:t xml:space="preserve">Política de Continuidade de Negócios</w:t>
      </w:r>
    </w:p>
    <w:p>
      <w:pPr>
        <w:numPr>
          <w:ilvl w:val="0"/>
          <w:numId w:val="1004"/>
        </w:numPr>
        <w:pStyle w:val="Compact"/>
      </w:pPr>
      <w:r>
        <w:t xml:space="preserve">Política de Direitos Humanos e Normas Trabalhistas</w:t>
      </w:r>
    </w:p>
    <w:p>
      <w:pPr>
        <w:numPr>
          <w:ilvl w:val="0"/>
          <w:numId w:val="1004"/>
        </w:numPr>
        <w:pStyle w:val="Compact"/>
      </w:pPr>
      <w:r>
        <w:t xml:space="preserve">Código de Conduta</w:t>
      </w:r>
    </w:p>
    <w:p>
      <w:pPr>
        <w:numPr>
          <w:ilvl w:val="0"/>
          <w:numId w:val="1004"/>
        </w:numPr>
        <w:pStyle w:val="Compact"/>
      </w:pPr>
      <w:r>
        <w:t xml:space="preserve">Política de Denúncias (Whistleblowing)</w:t>
      </w:r>
    </w:p>
    <w:p>
      <w:pPr>
        <w:numPr>
          <w:ilvl w:val="0"/>
          <w:numId w:val="1004"/>
        </w:numPr>
        <w:pStyle w:val="Compact"/>
      </w:pPr>
      <w:r>
        <w:t xml:space="preserve">ISO 45001 e ISO 14001 (referenciais; o Grupo não é certificado)</w:t>
      </w:r>
    </w:p>
    <w:p>
      <w:pPr>
        <w:numPr>
          <w:ilvl w:val="0"/>
          <w:numId w:val="1004"/>
        </w:numPr>
        <w:pStyle w:val="Compact"/>
      </w:pPr>
      <w:r>
        <w:t xml:space="preserve">EAU: Decreto-Lei Federal nº 33/2021 (Lei do Trabalho)</w:t>
      </w:r>
    </w:p>
    <w:p>
      <w:pPr>
        <w:numPr>
          <w:ilvl w:val="0"/>
          <w:numId w:val="1004"/>
        </w:numPr>
        <w:pStyle w:val="Compact"/>
      </w:pPr>
      <w:r>
        <w:t xml:space="preserve">Brasil: CLT (Decreto-Lei 5.452/1943), NR-1, NR-7</w:t>
      </w:r>
    </w:p>
    <w:bookmarkEnd w:id="26"/>
    <w:bookmarkStart w:id="27" w:name="análise-crítica-e-aprovação"/>
    <w:p>
      <w:pPr>
        <w:pStyle w:val="Heading2"/>
      </w:pPr>
      <w:r>
        <w:t xml:space="preserve">Análise crítica e aprovação</w:t>
      </w:r>
    </w:p>
    <w:p>
      <w:pPr>
        <w:pStyle w:val="FirstParagraph"/>
      </w:pPr>
      <w:r>
        <w:t xml:space="preserve">Versão 1.0, vigente a partir de 1º de outubro de 2026. Aprovada pelo Fundador e Diretor, Setti Group. Esta política é revisada anualmente ou em caso de alteração relevante da legislação, das atividades do Grupo, ou após incidente grave. Dúvidas devem ser encaminhadas a compliance@settigroup.com (a ser criado).</w:t>
      </w:r>
    </w:p>
    <w:p>
      <w:pPr>
        <w:pStyle w:val="BlockText"/>
      </w:pPr>
      <w:r>
        <w:t xml:space="preserve">Minuta preparada para revisão jurídica. Sem efeito até aprovação e assinatura.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Saúde, Segurança, Segurança Patrimonial e Meio Ambiente</dc:title>
  <dc:creator/>
  <dc:language>pt-BR</dc:language>
  <cp:keywords/>
  <dcterms:created xsi:type="dcterms:W3CDTF">2026-09-26T10:52:23Z</dcterms:created>
  <dcterms:modified xsi:type="dcterms:W3CDTF">2026-09-26T10:52:23Z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public</vt:lpwstr>
  </property>
  <property fmtid="{D5CDD505-2E9C-101B-9397-08002B2CF9AE}" pid="3" name="effective">
    <vt:lpwstr>2026-10-01</vt:lpwstr>
  </property>
  <property fmtid="{D5CDD505-2E9C-101B-9397-08002B2CF9AE}" pid="4" name="id">
    <vt:lpwstr>hse-policy</vt:lpwstr>
  </property>
  <property fmtid="{D5CDD505-2E9C-101B-9397-08002B2CF9AE}" pid="5" name="owner">
    <vt:lpwstr>Fundador e Diretor, Setti Group</vt:lpwstr>
  </property>
  <property fmtid="{D5CDD505-2E9C-101B-9397-08002B2CF9AE}" pid="6" name="summary">
    <vt:lpwstr>Estabelece os compromissos do próprio Setti Group para proteger a saúde, a segurança e a segurança patrimonial de suas pessoas e o meio ambiente, tanto como empregador quanto como consultoria atuando em instalações de clientes no Golfo, no Brasil e em outros países.</vt:lpwstr>
  </property>
  <property fmtid="{D5CDD505-2E9C-101B-9397-08002B2CF9AE}" pid="7" name="version">
    <vt:lpwstr>1.0</vt:lpwstr>
  </property>
</Properties>
</file>