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Política de Retenção e Descarte de Dados</w:t>
      </w:r>
    </w:p>
    <w:bookmarkStart w:id="20" w:name="finalidade-e-abrangência"/>
    <w:p>
      <w:pPr>
        <w:pStyle w:val="Heading2"/>
      </w:pPr>
      <w:r>
        <w:t xml:space="preserve">Finalidade e abrangência</w:t>
      </w:r>
    </w:p>
    <w:p>
      <w:pPr>
        <w:pStyle w:val="FirstParagraph"/>
      </w:pPr>
      <w:r>
        <w:t xml:space="preserve">Esta política define por quanto tempo a Setti Group FZC (Emirados Árabes Unidos) e a Setti Group Ltda (Brasil; nome fantasia SetFit), em conjunto</w:t>
      </w:r>
      <w:r>
        <w:t xml:space="preserve"> </w:t>
      </w:r>
      <w:r>
        <w:t xml:space="preserve">“</w:t>
      </w:r>
      <w:r>
        <w:t xml:space="preserve">Setti Group</w:t>
      </w:r>
      <w:r>
        <w:t xml:space="preserve">”</w:t>
      </w:r>
      <w:r>
        <w:t xml:space="preserve"> </w:t>
      </w:r>
      <w:r>
        <w:t xml:space="preserve">ou</w:t>
      </w:r>
      <w:r>
        <w:t xml:space="preserve"> </w:t>
      </w:r>
      <w:r>
        <w:t xml:space="preserve">“</w:t>
      </w:r>
      <w:r>
        <w:t xml:space="preserve">o Grupo</w:t>
      </w:r>
      <w:r>
        <w:t xml:space="preserve">”</w:t>
      </w:r>
      <w:r>
        <w:t xml:space="preserve">, mantêm registros e dados pessoais, e como eles são descartados. Ela dá efeito ao princípio da limitação de armazenamento previsto nos arts. 15 e 16 da Lei 13.709/2018 (LGPD), no Decreto-Lei Federal nº 45/2021 (PDPL) e no art. 5(1)(e) do Regulamento (UE) 2016/679 (GDPR), atendendo ao mesmo tempo aos deveres de guarda de registros das legislações tributária, trabalhista e de prevenção à lavagem de dinheiro dos Emirados e do Brasil.</w:t>
      </w:r>
    </w:p>
    <w:p>
      <w:pPr>
        <w:pStyle w:val="BodyText"/>
      </w:pPr>
      <w:r>
        <w:t xml:space="preserve">Aplica-se a todos os registros em qualquer meio (armazenamento em nuvem, e-mail, notebooks, bancos de dados do SetFit e do Arcas GRC, papel) mantidos pelo Fundador e Diretor, colaboradores, prestadores e operadores em nome do Grupo, nas atividades de consultoria e treinamento em HSSE, nas plataformas de software e na intermediação comercial.</w:t>
      </w:r>
    </w:p>
    <w:bookmarkEnd w:id="20"/>
    <w:bookmarkStart w:id="21" w:name="declaração-da-política"/>
    <w:p>
      <w:pPr>
        <w:pStyle w:val="Heading2"/>
      </w:pPr>
      <w:r>
        <w:t xml:space="preserve">Declaração da política</w:t>
      </w:r>
    </w:p>
    <w:p>
      <w:pPr>
        <w:pStyle w:val="FirstParagraph"/>
      </w:pPr>
      <w:r>
        <w:t xml:space="preserve">O Setti Group mantém registros apenas pelo tempo necessário à finalidade para a qual foram coletados, ao cumprimento de obrigação legal ou ao exercício de direitos em processos judiciais. Ao término do prazo de retenção, os registros são eliminados com segurança, anonimizados ou devolvidos ao cliente. Os dados de saúde e condicionamento físico dos usuários do SetFit são eliminados prontamente no encerramento da conta. O Grupo não mantém dados pessoais</w:t>
      </w:r>
      <w:r>
        <w:t xml:space="preserve"> </w:t>
      </w:r>
      <w:r>
        <w:t xml:space="preserve">“</w:t>
      </w:r>
      <w:r>
        <w:t xml:space="preserve">por precaução</w:t>
      </w:r>
      <w:r>
        <w:t xml:space="preserve">”</w:t>
      </w:r>
      <w:r>
        <w:t xml:space="preserve">.</w:t>
      </w:r>
    </w:p>
    <w:bookmarkEnd w:id="21"/>
    <w:bookmarkStart w:id="22" w:name="definições"/>
    <w:p>
      <w:pPr>
        <w:pStyle w:val="Heading2"/>
      </w:pPr>
      <w:r>
        <w:t xml:space="preserve">Definições</w:t>
      </w:r>
    </w:p>
    <w:p>
      <w:pPr>
        <w:numPr>
          <w:ilvl w:val="0"/>
          <w:numId w:val="1001"/>
        </w:numPr>
        <w:pStyle w:val="Compact"/>
      </w:pPr>
      <w:r>
        <w:rPr>
          <w:bCs/>
          <w:b/>
        </w:rPr>
        <w:t xml:space="preserve">Registro</w:t>
      </w:r>
      <w:r>
        <w:t xml:space="preserve">: qualquer documento ou conjunto de dados, estruturado ou não, criado ou recebido no curso das atividades.</w:t>
      </w:r>
    </w:p>
    <w:p>
      <w:pPr>
        <w:numPr>
          <w:ilvl w:val="0"/>
          <w:numId w:val="1001"/>
        </w:numPr>
        <w:pStyle w:val="Compact"/>
      </w:pPr>
      <w:r>
        <w:rPr>
          <w:bCs/>
          <w:b/>
        </w:rPr>
        <w:t xml:space="preserve">Prazo de retenção</w:t>
      </w:r>
      <w:r>
        <w:t xml:space="preserve">: o tempo em que um registro é mantido, contado a partir do evento gatilho indicado na tabela.</w:t>
      </w:r>
    </w:p>
    <w:p>
      <w:pPr>
        <w:numPr>
          <w:ilvl w:val="0"/>
          <w:numId w:val="1001"/>
        </w:numPr>
        <w:pStyle w:val="Compact"/>
      </w:pPr>
      <w:r>
        <w:rPr>
          <w:bCs/>
          <w:b/>
        </w:rPr>
        <w:t xml:space="preserve">Bloqueio legal (legal hold)</w:t>
      </w:r>
      <w:r>
        <w:t xml:space="preserve">: suspensão do descarte porque o registro é ou pode ser necessário para litígio, investigação ou inquérito regulatório.</w:t>
      </w:r>
    </w:p>
    <w:p>
      <w:pPr>
        <w:numPr>
          <w:ilvl w:val="0"/>
          <w:numId w:val="1001"/>
        </w:numPr>
        <w:pStyle w:val="Compact"/>
      </w:pPr>
      <w:r>
        <w:rPr>
          <w:bCs/>
          <w:b/>
        </w:rPr>
        <w:t xml:space="preserve">Descarte seguro</w:t>
      </w:r>
      <w:r>
        <w:t xml:space="preserve">: eliminação, destruição ou anonimização de modo que os dados não possam ser razoavelmente recuperados.</w:t>
      </w:r>
    </w:p>
    <w:p>
      <w:pPr>
        <w:numPr>
          <w:ilvl w:val="0"/>
          <w:numId w:val="1001"/>
        </w:numPr>
        <w:pStyle w:val="Compact"/>
      </w:pPr>
      <w:r>
        <w:rPr>
          <w:bCs/>
          <w:b/>
        </w:rPr>
        <w:t xml:space="preserve">Anonimização</w:t>
      </w:r>
      <w:r>
        <w:t xml:space="preserve">: remoção irreversível do vínculo entre os dados e a pessoa, após a qual os dados deixam de ser dados pessoais.</w:t>
      </w:r>
    </w:p>
    <w:bookmarkEnd w:id="22"/>
    <w:bookmarkStart w:id="23" w:name="responsabilidades"/>
    <w:p>
      <w:pPr>
        <w:pStyle w:val="Heading2"/>
      </w:pPr>
      <w:r>
        <w:t xml:space="preserve">Responsabilidades</w:t>
      </w:r>
    </w:p>
    <w:p>
      <w:pPr>
        <w:numPr>
          <w:ilvl w:val="0"/>
          <w:numId w:val="1002"/>
        </w:numPr>
        <w:pStyle w:val="Compact"/>
      </w:pPr>
      <w:r>
        <w:rPr>
          <w:bCs/>
          <w:b/>
        </w:rPr>
        <w:t xml:space="preserve">O Fundador e Diretor</w:t>
      </w:r>
      <w:r>
        <w:t xml:space="preserve"> </w:t>
      </w:r>
      <w:r>
        <w:t xml:space="preserve">é o dono desta política e da tabela de retenção, decide sobre bloqueios legais, aprova exceções, verifica as rodadas anuais de descarte e garante que os operadores apliquem os mesmos prazos.</w:t>
      </w:r>
    </w:p>
    <w:p>
      <w:pPr>
        <w:numPr>
          <w:ilvl w:val="0"/>
          <w:numId w:val="1002"/>
        </w:numPr>
        <w:pStyle w:val="Compact"/>
      </w:pPr>
      <w:r>
        <w:rPr>
          <w:bCs/>
          <w:b/>
        </w:rPr>
        <w:t xml:space="preserve">Todas as pessoas que trabalham para o Grupo</w:t>
      </w:r>
      <w:r>
        <w:t xml:space="preserve"> </w:t>
      </w:r>
      <w:r>
        <w:t xml:space="preserve">devem armazenar registros apenas nos sistemas aprovados listados na Política de Segurança da Informação, aplicar a tabela aos registros que criam e não manter cópias locais ou pessoais além do prazo de retenção.</w:t>
      </w:r>
    </w:p>
    <w:p>
      <w:pPr>
        <w:numPr>
          <w:ilvl w:val="0"/>
          <w:numId w:val="1002"/>
        </w:numPr>
        <w:pStyle w:val="Compact"/>
      </w:pPr>
      <w:r>
        <w:rPr>
          <w:bCs/>
          <w:b/>
        </w:rPr>
        <w:t xml:space="preserve">Operadores</w:t>
      </w:r>
      <w:r>
        <w:t xml:space="preserve"> </w:t>
      </w:r>
      <w:r>
        <w:t xml:space="preserve">(hospedagem em nuvem, provedores de pagamento, ferramentas de e-mail e produtividade) devem eliminar ou devolver os dados ao término do contrato e confirmar a eliminação por escrito.</w:t>
      </w:r>
    </w:p>
    <w:bookmarkEnd w:id="23"/>
    <w:bookmarkStart w:id="24" w:name="requisitos"/>
    <w:p>
      <w:pPr>
        <w:pStyle w:val="Heading2"/>
      </w:pPr>
      <w:r>
        <w:t xml:space="preserve">Requisitos</w:t>
      </w:r>
    </w:p>
    <w:p>
      <w:pPr>
        <w:numPr>
          <w:ilvl w:val="0"/>
          <w:numId w:val="1003"/>
        </w:numPr>
        <w:pStyle w:val="Compact"/>
      </w:pPr>
      <w:r>
        <w:rPr>
          <w:bCs/>
          <w:b/>
        </w:rPr>
        <w:t xml:space="preserve">Tabela de retenção.</w:t>
      </w:r>
      <w:r>
        <w:t xml:space="preserve"> </w:t>
      </w:r>
      <w:r>
        <w:t xml:space="preserve">A tabela a seguir é vinculante. Quando uma lei exigir prazo maior que o indicado, aplica-se o prazo maior e o motivo é registrado.</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Categoria</w:t>
            </w:r>
          </w:p>
        </w:tc>
        <w:tc>
          <w:tcPr/>
          <w:p>
            <w:pPr>
              <w:pStyle w:val="Compact"/>
              <w:jc w:val="left"/>
            </w:pPr>
            <w:r>
              <w:t xml:space="preserve">Prazo de retenção</w:t>
            </w:r>
          </w:p>
        </w:tc>
        <w:tc>
          <w:tcPr/>
          <w:p>
            <w:pPr>
              <w:pStyle w:val="Compact"/>
              <w:jc w:val="left"/>
            </w:pPr>
            <w:r>
              <w:t xml:space="preserve">Gatilho</w:t>
            </w:r>
          </w:p>
        </w:tc>
        <w:tc>
          <w:tcPr/>
          <w:p>
            <w:pPr>
              <w:pStyle w:val="Compact"/>
              <w:jc w:val="left"/>
            </w:pPr>
            <w:r>
              <w:t xml:space="preserve">Fundamento</w:t>
            </w:r>
          </w:p>
        </w:tc>
      </w:tr>
      <w:tr>
        <w:tc>
          <w:tcPr/>
          <w:p>
            <w:pPr>
              <w:pStyle w:val="Compact"/>
              <w:jc w:val="left"/>
            </w:pPr>
            <w:r>
              <w:t xml:space="preserve">Registros de contratos com clientes (propostas, contratos, correspondência, entregáveis, faturas)</w:t>
            </w:r>
          </w:p>
        </w:tc>
        <w:tc>
          <w:tcPr/>
          <w:p>
            <w:pPr>
              <w:pStyle w:val="Compact"/>
              <w:jc w:val="left"/>
            </w:pPr>
            <w:r>
              <w:t xml:space="preserve">7 anos</w:t>
            </w:r>
          </w:p>
        </w:tc>
        <w:tc>
          <w:tcPr/>
          <w:p>
            <w:pPr>
              <w:pStyle w:val="Compact"/>
              <w:jc w:val="left"/>
            </w:pPr>
            <w:r>
              <w:t xml:space="preserve">Fim do contrato</w:t>
            </w:r>
          </w:p>
        </w:tc>
        <w:tc>
          <w:tcPr/>
          <w:p>
            <w:pPr>
              <w:pStyle w:val="Compact"/>
              <w:jc w:val="left"/>
            </w:pPr>
            <w:r>
              <w:t xml:space="preserve">Pretensões contratuais; prescrição na Lei de Transações Civis dos EAU; Código Civil brasileiro</w:t>
            </w:r>
          </w:p>
        </w:tc>
      </w:tr>
      <w:tr>
        <w:tc>
          <w:tcPr/>
          <w:p>
            <w:pPr>
              <w:pStyle w:val="Compact"/>
              <w:jc w:val="left"/>
            </w:pPr>
            <w:r>
              <w:t xml:space="preserve">Relatórios de avaliação de HSE, auditorias, avaliações de risco, investigações de incidentes entregues a clientes</w:t>
            </w:r>
          </w:p>
        </w:tc>
        <w:tc>
          <w:tcPr/>
          <w:p>
            <w:pPr>
              <w:pStyle w:val="Compact"/>
              <w:jc w:val="left"/>
            </w:pPr>
            <w:r>
              <w:t xml:space="preserve">10 anos</w:t>
            </w:r>
          </w:p>
        </w:tc>
        <w:tc>
          <w:tcPr/>
          <w:p>
            <w:pPr>
              <w:pStyle w:val="Compact"/>
              <w:jc w:val="left"/>
            </w:pPr>
            <w:r>
              <w:t xml:space="preserve">Data do relatório</w:t>
            </w:r>
          </w:p>
        </w:tc>
        <w:tc>
          <w:tcPr/>
          <w:p>
            <w:pPr>
              <w:pStyle w:val="Compact"/>
              <w:jc w:val="left"/>
            </w:pPr>
            <w:r>
              <w:t xml:space="preserve">Responsabilidade profissional; guarda de registros conforme NR-1 e NR-7; trilhas de auditoria de clientes</w:t>
            </w:r>
          </w:p>
        </w:tc>
      </w:tr>
      <w:tr>
        <w:tc>
          <w:tcPr/>
          <w:p>
            <w:pPr>
              <w:pStyle w:val="Compact"/>
              <w:jc w:val="left"/>
            </w:pPr>
            <w:r>
              <w:t xml:space="preserve">Registros de treinamento e de participantes IOSH (inscrição, presença, resultados de avaliação, certificados emitidos)</w:t>
            </w:r>
          </w:p>
        </w:tc>
        <w:tc>
          <w:tcPr/>
          <w:p>
            <w:pPr>
              <w:pStyle w:val="Compact"/>
              <w:jc w:val="left"/>
            </w:pPr>
            <w:r>
              <w:t xml:space="preserve">5 anos</w:t>
            </w:r>
          </w:p>
        </w:tc>
        <w:tc>
          <w:tcPr/>
          <w:p>
            <w:pPr>
              <w:pStyle w:val="Compact"/>
              <w:jc w:val="left"/>
            </w:pPr>
            <w:r>
              <w:t xml:space="preserve">Fim do curso</w:t>
            </w:r>
          </w:p>
        </w:tc>
        <w:tc>
          <w:tcPr/>
          <w:p>
            <w:pPr>
              <w:pStyle w:val="Compact"/>
              <w:jc w:val="left"/>
            </w:pPr>
            <w:r>
              <w:t xml:space="preserve">Verificação de certificados; requisitos da IOSH</w:t>
            </w:r>
          </w:p>
        </w:tc>
      </w:tr>
      <w:tr>
        <w:tc>
          <w:tcPr/>
          <w:p>
            <w:pPr>
              <w:pStyle w:val="Compact"/>
              <w:jc w:val="left"/>
            </w:pPr>
            <w:r>
              <w:t xml:space="preserve">Dados de conta de usuários do SetFit (identidade, contato, assinatura, vínculo com treinador)</w:t>
            </w:r>
          </w:p>
        </w:tc>
        <w:tc>
          <w:tcPr/>
          <w:p>
            <w:pPr>
              <w:pStyle w:val="Compact"/>
              <w:jc w:val="left"/>
            </w:pPr>
            <w:r>
              <w:t xml:space="preserve">Enquanto a conta estiver ativa + 12 meses</w:t>
            </w:r>
          </w:p>
        </w:tc>
        <w:tc>
          <w:tcPr/>
          <w:p>
            <w:pPr>
              <w:pStyle w:val="Compact"/>
              <w:jc w:val="left"/>
            </w:pPr>
            <w:r>
              <w:t xml:space="preserve">Encerramento da conta</w:t>
            </w:r>
          </w:p>
        </w:tc>
        <w:tc>
          <w:tcPr/>
          <w:p>
            <w:pPr>
              <w:pStyle w:val="Compact"/>
              <w:jc w:val="left"/>
            </w:pPr>
            <w:r>
              <w:t xml:space="preserve">Contrato; resolução de disputas</w:t>
            </w:r>
          </w:p>
        </w:tc>
      </w:tr>
      <w:tr>
        <w:tc>
          <w:tcPr/>
          <w:p>
            <w:pPr>
              <w:pStyle w:val="Compact"/>
              <w:jc w:val="left"/>
            </w:pPr>
            <w:r>
              <w:t xml:space="preserve">Medições de saúde e condicionamento físico do SetFit (composição corporal, peso, medidas, treinos, fotos)</w:t>
            </w:r>
          </w:p>
        </w:tc>
        <w:tc>
          <w:tcPr/>
          <w:p>
            <w:pPr>
              <w:pStyle w:val="Compact"/>
              <w:jc w:val="left"/>
            </w:pPr>
            <w:r>
              <w:t xml:space="preserve">Eliminadas em até 30 dias após o encerramento da conta; sem retenção posterior</w:t>
            </w:r>
          </w:p>
        </w:tc>
        <w:tc>
          <w:tcPr/>
          <w:p>
            <w:pPr>
              <w:pStyle w:val="Compact"/>
              <w:jc w:val="left"/>
            </w:pPr>
            <w:r>
              <w:t xml:space="preserve">Encerramento da conta</w:t>
            </w:r>
          </w:p>
        </w:tc>
        <w:tc>
          <w:tcPr/>
          <w:p>
            <w:pPr>
              <w:pStyle w:val="Compact"/>
              <w:jc w:val="left"/>
            </w:pPr>
            <w:r>
              <w:t xml:space="preserve">Arts. 11, 15 e 16 da LGPD; revogação do consentimento</w:t>
            </w:r>
          </w:p>
        </w:tc>
      </w:tr>
      <w:tr>
        <w:tc>
          <w:tcPr/>
          <w:p>
            <w:pPr>
              <w:pStyle w:val="Compact"/>
              <w:jc w:val="left"/>
            </w:pPr>
            <w:r>
              <w:t xml:space="preserve">Dados de clientes (tenants) do Arcas GRC (registros carregados pelo cliente, usuários, logs de auditoria)</w:t>
            </w:r>
          </w:p>
        </w:tc>
        <w:tc>
          <w:tcPr/>
          <w:p>
            <w:pPr>
              <w:pStyle w:val="Compact"/>
              <w:jc w:val="left"/>
            </w:pPr>
            <w:r>
              <w:t xml:space="preserve">Conforme contrato; devolvidos ou eliminados em até 90 dias após a rescisão</w:t>
            </w:r>
          </w:p>
        </w:tc>
        <w:tc>
          <w:tcPr/>
          <w:p>
            <w:pPr>
              <w:pStyle w:val="Compact"/>
              <w:jc w:val="left"/>
            </w:pPr>
            <w:r>
              <w:t xml:space="preserve">Rescisão contratual</w:t>
            </w:r>
          </w:p>
        </w:tc>
        <w:tc>
          <w:tcPr/>
          <w:p>
            <w:pPr>
              <w:pStyle w:val="Compact"/>
              <w:jc w:val="left"/>
            </w:pPr>
            <w:r>
              <w:t xml:space="preserve">Obrigações de operador; instruções do cliente</w:t>
            </w:r>
          </w:p>
        </w:tc>
      </w:tr>
      <w:tr>
        <w:tc>
          <w:tcPr/>
          <w:p>
            <w:pPr>
              <w:pStyle w:val="Compact"/>
              <w:jc w:val="left"/>
            </w:pPr>
            <w:r>
              <w:t xml:space="preserve">Registros contábeis, fiscais e societários</w:t>
            </w:r>
          </w:p>
        </w:tc>
        <w:tc>
          <w:tcPr/>
          <w:p>
            <w:pPr>
              <w:pStyle w:val="Compact"/>
              <w:jc w:val="left"/>
            </w:pPr>
            <w:r>
              <w:t xml:space="preserve">EAU: 5 anos conforme a legislação de imposto corporativo e IVA; Brasil: 5 anos, prazo maior quando exigido pela legislação tributária ou previdenciária</w:t>
            </w:r>
          </w:p>
        </w:tc>
        <w:tc>
          <w:tcPr/>
          <w:p>
            <w:pPr>
              <w:pStyle w:val="Compact"/>
              <w:jc w:val="left"/>
            </w:pPr>
            <w:r>
              <w:t xml:space="preserve">Fim do exercício / entrega da declaração</w:t>
            </w:r>
          </w:p>
        </w:tc>
        <w:tc>
          <w:tcPr/>
          <w:p>
            <w:pPr>
              <w:pStyle w:val="Compact"/>
              <w:jc w:val="left"/>
            </w:pPr>
            <w:r>
              <w:t xml:space="preserve">Legislação tributária; legislação comercial</w:t>
            </w:r>
          </w:p>
        </w:tc>
      </w:tr>
      <w:tr>
        <w:tc>
          <w:tcPr/>
          <w:p>
            <w:pPr>
              <w:pStyle w:val="Compact"/>
              <w:jc w:val="left"/>
            </w:pPr>
            <w:r>
              <w:t xml:space="preserve">Registros de KYC, triagem de sanções e transações na intermediação comercial</w:t>
            </w:r>
          </w:p>
        </w:tc>
        <w:tc>
          <w:tcPr/>
          <w:p>
            <w:pPr>
              <w:pStyle w:val="Compact"/>
              <w:jc w:val="left"/>
            </w:pPr>
            <w:r>
              <w:t xml:space="preserve">5 anos</w:t>
            </w:r>
          </w:p>
        </w:tc>
        <w:tc>
          <w:tcPr/>
          <w:p>
            <w:pPr>
              <w:pStyle w:val="Compact"/>
              <w:jc w:val="left"/>
            </w:pPr>
            <w:r>
              <w:t xml:space="preserve">Fim da relação comercial ou da transação</w:t>
            </w:r>
          </w:p>
        </w:tc>
        <w:tc>
          <w:tcPr/>
          <w:p>
            <w:pPr>
              <w:pStyle w:val="Compact"/>
              <w:jc w:val="left"/>
            </w:pPr>
            <w:r>
              <w:t xml:space="preserve">Decreto-Lei Federal nº 10/2019; Lei 9.613/1998</w:t>
            </w:r>
          </w:p>
        </w:tc>
      </w:tr>
      <w:tr>
        <w:tc>
          <w:tcPr/>
          <w:p>
            <w:pPr>
              <w:pStyle w:val="Compact"/>
              <w:jc w:val="left"/>
            </w:pPr>
            <w:r>
              <w:t xml:space="preserve">Registros trabalhistas (contratos, folha, férias, disciplinares)</w:t>
            </w:r>
          </w:p>
        </w:tc>
        <w:tc>
          <w:tcPr/>
          <w:p>
            <w:pPr>
              <w:pStyle w:val="Compact"/>
              <w:jc w:val="left"/>
            </w:pPr>
            <w:r>
              <w:t xml:space="preserve">EAU: 2 anos após o fim do vínculo (Decreto-Lei Federal nº 33/2021); Brasil: conforme CLT e regras previdenciárias, tipicamente de 5 a 30 anos conforme o tipo de registro</w:t>
            </w:r>
          </w:p>
        </w:tc>
        <w:tc>
          <w:tcPr/>
          <w:p>
            <w:pPr>
              <w:pStyle w:val="Compact"/>
              <w:jc w:val="left"/>
            </w:pPr>
            <w:r>
              <w:t xml:space="preserve">Fim do vínculo</w:t>
            </w:r>
          </w:p>
        </w:tc>
        <w:tc>
          <w:tcPr/>
          <w:p>
            <w:pPr>
              <w:pStyle w:val="Compact"/>
              <w:jc w:val="left"/>
            </w:pPr>
            <w:r>
              <w:t xml:space="preserve">Legislação trabalhista</w:t>
            </w:r>
          </w:p>
        </w:tc>
      </w:tr>
      <w:tr>
        <w:tc>
          <w:tcPr/>
          <w:p>
            <w:pPr>
              <w:pStyle w:val="Compact"/>
              <w:jc w:val="left"/>
            </w:pPr>
            <w:r>
              <w:t xml:space="preserve">CFTV</w:t>
            </w:r>
          </w:p>
        </w:tc>
        <w:tc>
          <w:tcPr/>
          <w:p>
            <w:pPr>
              <w:pStyle w:val="Compact"/>
              <w:jc w:val="left"/>
            </w:pPr>
            <w:r>
              <w:t xml:space="preserve">Nenhum; o Grupo não opera CFTV</w:t>
            </w:r>
          </w:p>
        </w:tc>
        <w:tc>
          <w:tcPr/>
          <w:p>
            <w:pPr>
              <w:pStyle w:val="Compact"/>
              <w:jc w:val="left"/>
            </w:pPr>
            <w:r>
              <w:t xml:space="preserve">Não aplicável</w:t>
            </w:r>
          </w:p>
        </w:tc>
        <w:tc>
          <w:tcPr/>
          <w:p>
            <w:pPr>
              <w:pStyle w:val="Compact"/>
              <w:jc w:val="left"/>
            </w:pPr>
            <w:r>
              <w:t xml:space="preserve">Não aplicável</w:t>
            </w:r>
          </w:p>
        </w:tc>
      </w:tr>
      <w:tr>
        <w:tc>
          <w:tcPr/>
          <w:p>
            <w:pPr>
              <w:pStyle w:val="Compact"/>
              <w:jc w:val="left"/>
            </w:pPr>
            <w:r>
              <w:t xml:space="preserve">Consentimentos de marketing e listas de contatos</w:t>
            </w:r>
          </w:p>
        </w:tc>
        <w:tc>
          <w:tcPr/>
          <w:p>
            <w:pPr>
              <w:pStyle w:val="Compact"/>
              <w:jc w:val="left"/>
            </w:pPr>
            <w:r>
              <w:t xml:space="preserve">Até a revogação do consentimento ou 24 meses de inatividade do contato</w:t>
            </w:r>
          </w:p>
        </w:tc>
        <w:tc>
          <w:tcPr/>
          <w:p>
            <w:pPr>
              <w:pStyle w:val="Compact"/>
              <w:jc w:val="left"/>
            </w:pPr>
            <w:r>
              <w:t xml:space="preserve">Revogação / inatividade</w:t>
            </w:r>
          </w:p>
        </w:tc>
        <w:tc>
          <w:tcPr/>
          <w:p>
            <w:pPr>
              <w:pStyle w:val="Compact"/>
              <w:jc w:val="left"/>
            </w:pPr>
            <w:r>
              <w:t xml:space="preserve">Consentimento</w:t>
            </w:r>
          </w:p>
        </w:tc>
      </w:tr>
      <w:tr>
        <w:tc>
          <w:tcPr/>
          <w:p>
            <w:pPr>
              <w:pStyle w:val="Compact"/>
              <w:jc w:val="left"/>
            </w:pPr>
            <w:r>
              <w:t xml:space="preserve">Registros de recrutamento (currículos, anotações de entrevista) de candidatos não contratados</w:t>
            </w:r>
          </w:p>
        </w:tc>
        <w:tc>
          <w:tcPr/>
          <w:p>
            <w:pPr>
              <w:pStyle w:val="Compact"/>
              <w:jc w:val="left"/>
            </w:pPr>
            <w:r>
              <w:t xml:space="preserve">6 meses</w:t>
            </w:r>
          </w:p>
        </w:tc>
        <w:tc>
          <w:tcPr/>
          <w:p>
            <w:pPr>
              <w:pStyle w:val="Compact"/>
              <w:jc w:val="left"/>
            </w:pPr>
            <w:r>
              <w:t xml:space="preserve">Data da decisão</w:t>
            </w:r>
          </w:p>
        </w:tc>
        <w:tc>
          <w:tcPr/>
          <w:p>
            <w:pPr>
              <w:pStyle w:val="Compact"/>
              <w:jc w:val="left"/>
            </w:pPr>
            <w:r>
              <w:t xml:space="preserve">Legítimo interesse; alegações de discriminação; eliminados aos 6 meses, salvo consentimento do candidato para banco de talentos</w:t>
            </w:r>
          </w:p>
        </w:tc>
      </w:tr>
      <w:tr>
        <w:tc>
          <w:tcPr/>
          <w:p>
            <w:pPr>
              <w:pStyle w:val="Compact"/>
              <w:jc w:val="left"/>
            </w:pPr>
            <w:r>
              <w:t xml:space="preserve">Registros de recrutamento de candidatos contratados</w:t>
            </w:r>
          </w:p>
        </w:tc>
        <w:tc>
          <w:tcPr/>
          <w:p>
            <w:pPr>
              <w:pStyle w:val="Compact"/>
              <w:jc w:val="left"/>
            </w:pPr>
            <w:r>
              <w:t xml:space="preserve">Transferidos para o registro trabalhista</w:t>
            </w:r>
          </w:p>
        </w:tc>
        <w:tc>
          <w:tcPr/>
          <w:p>
            <w:pPr>
              <w:pStyle w:val="Compact"/>
              <w:jc w:val="left"/>
            </w:pPr>
            <w:r>
              <w:t xml:space="preserve">Data da contratação</w:t>
            </w:r>
          </w:p>
        </w:tc>
        <w:tc>
          <w:tcPr/>
          <w:p>
            <w:pPr>
              <w:pStyle w:val="Compact"/>
              <w:jc w:val="left"/>
            </w:pPr>
            <w:r>
              <w:t xml:space="preserve">Contrato de trabalho</w:t>
            </w:r>
          </w:p>
        </w:tc>
      </w:tr>
      <w:tr>
        <w:tc>
          <w:tcPr/>
          <w:p>
            <w:pPr>
              <w:pStyle w:val="Compact"/>
              <w:jc w:val="left"/>
            </w:pPr>
            <w:r>
              <w:t xml:space="preserve">Logs de sistema, acesso, segurança e servidor web</w:t>
            </w:r>
          </w:p>
        </w:tc>
        <w:tc>
          <w:tcPr/>
          <w:p>
            <w:pPr>
              <w:pStyle w:val="Compact"/>
              <w:jc w:val="left"/>
            </w:pPr>
            <w:r>
              <w:t xml:space="preserve">12 meses</w:t>
            </w:r>
          </w:p>
        </w:tc>
        <w:tc>
          <w:tcPr/>
          <w:p>
            <w:pPr>
              <w:pStyle w:val="Compact"/>
              <w:jc w:val="left"/>
            </w:pPr>
            <w:r>
              <w:t xml:space="preserve">Data do log</w:t>
            </w:r>
          </w:p>
        </w:tc>
        <w:tc>
          <w:tcPr/>
          <w:p>
            <w:pPr>
              <w:pStyle w:val="Compact"/>
              <w:jc w:val="left"/>
            </w:pPr>
            <w:r>
              <w:t xml:space="preserve">Segurança; investigação de incidentes</w:t>
            </w:r>
          </w:p>
        </w:tc>
      </w:tr>
      <w:tr>
        <w:tc>
          <w:tcPr/>
          <w:p>
            <w:pPr>
              <w:pStyle w:val="Compact"/>
              <w:jc w:val="left"/>
            </w:pPr>
            <w:r>
              <w:t xml:space="preserve">Requisições de titulares, registros de consentimento, RIPDs, registro de incidentes</w:t>
            </w:r>
          </w:p>
        </w:tc>
        <w:tc>
          <w:tcPr/>
          <w:p>
            <w:pPr>
              <w:pStyle w:val="Compact"/>
              <w:jc w:val="left"/>
            </w:pPr>
            <w:r>
              <w:t xml:space="preserve">5 anos após o encerramento da requisição ou do evento</w:t>
            </w:r>
          </w:p>
        </w:tc>
        <w:tc>
          <w:tcPr/>
          <w:p>
            <w:pPr>
              <w:pStyle w:val="Compact"/>
              <w:jc w:val="left"/>
            </w:pPr>
            <w:r>
              <w:t xml:space="preserve">Encerramento</w:t>
            </w:r>
          </w:p>
        </w:tc>
        <w:tc>
          <w:tcPr/>
          <w:p>
            <w:pPr>
              <w:pStyle w:val="Compact"/>
              <w:jc w:val="left"/>
            </w:pPr>
            <w:r>
              <w:t xml:space="preserve">Prestação de contas sob LGPD, PDPL e GDPR</w:t>
            </w:r>
          </w:p>
        </w:tc>
      </w:tr>
    </w:tbl>
    <w:p>
      <w:pPr>
        <w:numPr>
          <w:ilvl w:val="0"/>
          <w:numId w:val="1004"/>
        </w:numPr>
        <w:pStyle w:val="Compact"/>
      </w:pPr>
      <w:r>
        <w:rPr>
          <w:bCs/>
          <w:b/>
        </w:rPr>
        <w:t xml:space="preserve">Datas de gatilho.</w:t>
      </w:r>
      <w:r>
        <w:t xml:space="preserve"> </w:t>
      </w:r>
      <w:r>
        <w:t xml:space="preserve">O prazo de retenção começa no evento gatilho indicado na tabela, e não na criação do registro. Quando o gatilho for desconhecido, usa-se a data de criação.</w:t>
      </w:r>
    </w:p>
    <w:p>
      <w:pPr>
        <w:numPr>
          <w:ilvl w:val="0"/>
          <w:numId w:val="1004"/>
        </w:numPr>
        <w:pStyle w:val="Compact"/>
      </w:pPr>
      <w:r>
        <w:rPr>
          <w:bCs/>
          <w:b/>
        </w:rPr>
        <w:t xml:space="preserve">Encerramento de conta no SetFit.</w:t>
      </w:r>
      <w:r>
        <w:t xml:space="preserve"> </w:t>
      </w:r>
      <w:r>
        <w:t xml:space="preserve">Quando o usuário encerra a conta, ou solicita eliminação nos termos do art. 18 da LGPD, as medições de saúde e condicionamento físico são eliminadas do ambiente de produção em até 30 dias e dos backups em até 90 dias. O personal trainer vinculado perde o acesso a esses dados no momento do encerramento. Os dados de identidade e assinatura são mantidos por 12 meses exclusivamente para fins de disputas e reembolsos, e depois eliminados. Estatísticas agregadas e anonimizadas podem ser mantidas.</w:t>
      </w:r>
    </w:p>
    <w:p>
      <w:pPr>
        <w:numPr>
          <w:ilvl w:val="0"/>
          <w:numId w:val="1004"/>
        </w:numPr>
        <w:pStyle w:val="Compact"/>
      </w:pPr>
      <w:r>
        <w:rPr>
          <w:bCs/>
          <w:b/>
        </w:rPr>
        <w:t xml:space="preserve">Rescisão no Arcas GRC.</w:t>
      </w:r>
      <w:r>
        <w:t xml:space="preserve"> </w:t>
      </w:r>
      <w:r>
        <w:t xml:space="preserve">Na rescisão de um contrato de cliente, o Grupo fornece, mediante solicitação, uma exportação dos dados do cliente em formato comum em até 30 dias e, em seguida, elimina os dados do cliente da produção e dos backups em até 90 dias, confirmando a eliminação por escrito, salvo instrução escrita em contrário do cliente ou bloqueio legal aplicável.</w:t>
      </w:r>
    </w:p>
    <w:p>
      <w:pPr>
        <w:numPr>
          <w:ilvl w:val="0"/>
          <w:numId w:val="1004"/>
        </w:numPr>
        <w:pStyle w:val="Compact"/>
      </w:pPr>
      <w:r>
        <w:rPr>
          <w:bCs/>
          <w:b/>
        </w:rPr>
        <w:t xml:space="preserve">Dados de clientes em consultoria e treinamento.</w:t>
      </w:r>
      <w:r>
        <w:t xml:space="preserve"> </w:t>
      </w:r>
      <w:r>
        <w:t xml:space="preserve">Os dados brutos de clientes usados em uma avaliação de HSE (listas de trabalhadores, arquivos de incidentes, fotos de instalações) são devolvidos ou eliminados em até 90 dias após a entrega do relatório final; apenas o relatório e as evidências de apoio necessárias para sustentá-lo são mantidos pelo prazo de 10 anos.</w:t>
      </w:r>
    </w:p>
    <w:p>
      <w:pPr>
        <w:numPr>
          <w:ilvl w:val="0"/>
          <w:numId w:val="1004"/>
        </w:numPr>
        <w:pStyle w:val="Compact"/>
      </w:pPr>
      <w:r>
        <w:rPr>
          <w:bCs/>
          <w:b/>
        </w:rPr>
        <w:t xml:space="preserve">Bloqueio legal.</w:t>
      </w:r>
      <w:r>
        <w:t xml:space="preserve"> </w:t>
      </w:r>
      <w:r>
        <w:t xml:space="preserve">Quando o Fundador e Diretor toma conhecimento de litígio real ou razoavelmente previsível, inquérito regulatório ou investigação interna, os registros pertinentes são colocados sob bloqueio legal, o descarte é suspenso, e o bloqueio é registrado e comunicado a todos que mantêm esses registros. O bloqueio é levantado por escrito.</w:t>
      </w:r>
    </w:p>
    <w:p>
      <w:pPr>
        <w:numPr>
          <w:ilvl w:val="0"/>
          <w:numId w:val="1004"/>
        </w:numPr>
        <w:pStyle w:val="Compact"/>
      </w:pPr>
      <w:r>
        <w:rPr>
          <w:bCs/>
          <w:b/>
        </w:rPr>
        <w:t xml:space="preserve">Rodada anual de descarte.</w:t>
      </w:r>
      <w:r>
        <w:t xml:space="preserve"> </w:t>
      </w:r>
      <w:r>
        <w:t xml:space="preserve">Uma vez por ano, e no máximo até o mês seguinte ao encerramento do exercício, o Fundador e Diretor revisa cada local de armazenamento em relação à tabela, descarta os registros vencidos e registra a rodada (data, categorias, método).</w:t>
      </w:r>
    </w:p>
    <w:p>
      <w:pPr>
        <w:numPr>
          <w:ilvl w:val="0"/>
          <w:numId w:val="1004"/>
        </w:numPr>
        <w:pStyle w:val="Compact"/>
      </w:pPr>
      <w:r>
        <w:rPr>
          <w:bCs/>
          <w:b/>
        </w:rPr>
        <w:t xml:space="preserve">Métodos de descarte seguro.</w:t>
      </w:r>
      <w:r>
        <w:t xml:space="preserve"> </w:t>
      </w:r>
      <w:r>
        <w:t xml:space="preserve">Registros eletrônicos: exclusão do aplicativo e do armazenamento em nuvem pela função de exclusão permanente do provedor, seguida da expiração dos backups; registros de banco de dados eliminados ou anonimizados por script com log de conclusão. Dispositivos: chaves de criptografia de disco destruídas e dispositivo restaurado ao padrão de fábrica ou unidade apagada criptograficamente antes de revenda, reutilização ou descarte. Papel: fragmentação em corte cruzado ou serviço certificado de destruição. A eliminação de dados mantidos por operadores é solicitada por escrito e confirmada.</w:t>
      </w:r>
    </w:p>
    <w:p>
      <w:pPr>
        <w:numPr>
          <w:ilvl w:val="0"/>
          <w:numId w:val="1004"/>
        </w:numPr>
        <w:pStyle w:val="Compact"/>
      </w:pPr>
      <w:r>
        <w:rPr>
          <w:bCs/>
          <w:b/>
        </w:rPr>
        <w:t xml:space="preserve">Backups.</w:t>
      </w:r>
      <w:r>
        <w:t xml:space="preserve"> </w:t>
      </w:r>
      <w:r>
        <w:t xml:space="preserve">Os backups são mantidos em ciclo rotativo de no máximo 90 dias. Dados eliminados da produção são, portanto, removidos de todos os backups em até 90 dias. Backups não são restaurados para recuperar dados cujo prazo de retenção já expirou.</w:t>
      </w:r>
    </w:p>
    <w:p>
      <w:pPr>
        <w:numPr>
          <w:ilvl w:val="0"/>
          <w:numId w:val="1004"/>
        </w:numPr>
        <w:pStyle w:val="Compact"/>
      </w:pPr>
      <w:r>
        <w:rPr>
          <w:bCs/>
          <w:b/>
        </w:rPr>
        <w:t xml:space="preserve">E-mail.</w:t>
      </w:r>
      <w:r>
        <w:t xml:space="preserve"> </w:t>
      </w:r>
      <w:r>
        <w:t xml:space="preserve">O e-mail é um registro como qualquer outro. Mensagens que integram um contrato com cliente, contrato, registro fiscal ou de RH devem ser arquivadas no sistema correspondente; a caixa de correio não é um arquivo. As caixas de correio de pessoas desligadas são encerradas e seu conteúdo revisado e arquivado ou eliminado em até 90 dias.</w:t>
      </w:r>
    </w:p>
    <w:p>
      <w:pPr>
        <w:numPr>
          <w:ilvl w:val="0"/>
          <w:numId w:val="1004"/>
        </w:numPr>
        <w:pStyle w:val="Compact"/>
      </w:pPr>
      <w:r>
        <w:rPr>
          <w:bCs/>
          <w:b/>
        </w:rPr>
        <w:t xml:space="preserve">Dispositivos pessoais e cópias locais.</w:t>
      </w:r>
      <w:r>
        <w:t xml:space="preserve"> </w:t>
      </w:r>
      <w:r>
        <w:t xml:space="preserve">Nenhum registro pode ser mantido apenas em dispositivo pessoal ou em conta pessoal. Cópias de trabalho locais são eliminadas quando o trabalho é arquivado no sistema aprovado.</w:t>
      </w:r>
    </w:p>
    <w:p>
      <w:pPr>
        <w:numPr>
          <w:ilvl w:val="0"/>
          <w:numId w:val="1004"/>
        </w:numPr>
        <w:pStyle w:val="Compact"/>
      </w:pPr>
      <w:r>
        <w:rPr>
          <w:bCs/>
          <w:b/>
        </w:rPr>
        <w:t xml:space="preserve">Exceções.</w:t>
      </w:r>
      <w:r>
        <w:t xml:space="preserve"> </w:t>
      </w:r>
      <w:r>
        <w:t xml:space="preserve">Qualquer retenção além da tabela deve ser aprovada por escrito pelo Fundador e Diretor, registrada com sua base legal e revisada anualmente.</w:t>
      </w:r>
    </w:p>
    <w:bookmarkEnd w:id="24"/>
    <w:bookmarkStart w:id="25" w:name="comunicação-violações-e-consequências"/>
    <w:p>
      <w:pPr>
        <w:pStyle w:val="Heading2"/>
      </w:pPr>
      <w:r>
        <w:t xml:space="preserve">Comunicação, violações e consequências</w:t>
      </w:r>
    </w:p>
    <w:p>
      <w:pPr>
        <w:pStyle w:val="FirstParagraph"/>
      </w:pPr>
      <w:r>
        <w:t xml:space="preserve">Qualquer pessoa que tome conhecimento de que registros estão sendo mantidos além da tabela, descartados antes do prazo ou descartados de forma insegura deve comunicar o fato a compliance@settigroup.com ou privacy@settigroup.com. A destruição não autorizada ou a perda de dados pessoais é um incidente de segurança nos termos da Política de Resposta a Incidentes de Segurança e Violação de Dados. Preocupações também podem ser levantadas por meio de speakup@settigroup.com ou por correspondência ao endereço registrado de qualquer das entidades.</w:t>
      </w:r>
    </w:p>
    <w:p>
      <w:pPr>
        <w:pStyle w:val="BodyText"/>
      </w:pPr>
      <w:r>
        <w:t xml:space="preserve">Violações desta política podem resultar em medidas disciplinares nos termos do Decreto-Lei Federal nº 33/2021 ou da CLT, e na rescisão de contratos com operadores. Os titulares podem apresentar reclamação à ANPD, ao UAE Data Office ou à autoridade de supervisão de seu país na UE.</w:t>
      </w:r>
    </w:p>
    <w:bookmarkEnd w:id="25"/>
    <w:bookmarkStart w:id="26" w:name="políticas-relacionadas-e-referências"/>
    <w:p>
      <w:pPr>
        <w:pStyle w:val="Heading2"/>
      </w:pPr>
      <w:r>
        <w:t xml:space="preserve">Políticas relacionadas e referências</w:t>
      </w:r>
    </w:p>
    <w:p>
      <w:pPr>
        <w:numPr>
          <w:ilvl w:val="0"/>
          <w:numId w:val="1005"/>
        </w:numPr>
        <w:pStyle w:val="Compact"/>
      </w:pPr>
      <w:r>
        <w:t xml:space="preserve">Política de Proteção de Dados</w:t>
      </w:r>
    </w:p>
    <w:p>
      <w:pPr>
        <w:numPr>
          <w:ilvl w:val="0"/>
          <w:numId w:val="1005"/>
        </w:numPr>
        <w:pStyle w:val="Compact"/>
      </w:pPr>
      <w:r>
        <w:t xml:space="preserve">Aviso de Privacidade (settigroup.com)</w:t>
      </w:r>
    </w:p>
    <w:p>
      <w:pPr>
        <w:numPr>
          <w:ilvl w:val="0"/>
          <w:numId w:val="1005"/>
        </w:numPr>
        <w:pStyle w:val="Compact"/>
      </w:pPr>
      <w:r>
        <w:t xml:space="preserve">Política de Segurança da Informação</w:t>
      </w:r>
    </w:p>
    <w:p>
      <w:pPr>
        <w:numPr>
          <w:ilvl w:val="0"/>
          <w:numId w:val="1005"/>
        </w:numPr>
        <w:pStyle w:val="Compact"/>
      </w:pPr>
      <w:r>
        <w:t xml:space="preserve">Política de Resposta a Incidentes de Segurança e Violação de Dados</w:t>
      </w:r>
    </w:p>
    <w:p>
      <w:pPr>
        <w:numPr>
          <w:ilvl w:val="0"/>
          <w:numId w:val="1005"/>
        </w:numPr>
        <w:pStyle w:val="Compact"/>
      </w:pPr>
      <w:r>
        <w:t xml:space="preserve">Política de Uso Aceitável de TI e Inteligência Artificial</w:t>
      </w:r>
    </w:p>
    <w:p>
      <w:pPr>
        <w:numPr>
          <w:ilvl w:val="0"/>
          <w:numId w:val="1005"/>
        </w:numPr>
        <w:pStyle w:val="Compact"/>
      </w:pPr>
      <w:r>
        <w:t xml:space="preserve">Lei 13.709/2018 (LGPD); Decreto-Lei Federal nº 45/2021 (PDPL); Regulamento (UE) 2016/679 (GDPR); Decreto-Lei Federal nº 10/2019; Lei 9.613/1998; Decreto-Lei Federal nº 33/2021; CLT; NR-1 e NR-7; ISO/IEC 27001 (referencial, não certificação)</w:t>
      </w:r>
    </w:p>
    <w:bookmarkEnd w:id="26"/>
    <w:bookmarkStart w:id="27" w:name="revisão-e-aprovação"/>
    <w:p>
      <w:pPr>
        <w:pStyle w:val="Heading2"/>
      </w:pPr>
      <w:r>
        <w:t xml:space="preserve">Revisão e aprovação</w:t>
      </w:r>
    </w:p>
    <w:p>
      <w:pPr>
        <w:pStyle w:val="FirstParagraph"/>
      </w:pPr>
      <w:r>
        <w:t xml:space="preserve">Versão 1.0, vigente a partir de 1º de outubro de 2026. Aprovada pelo Fundador e Diretor, Setti Group. Revisada anualmente ou em caso de mudança relevante na legislação, incluindo qualquer alteração nos prazos legais de retenção nos Emirados, no Brasil ou na UE.</w:t>
      </w:r>
    </w:p>
    <w:p>
      <w:pPr>
        <w:pStyle w:val="BlockText"/>
      </w:pPr>
      <w:r>
        <w:t xml:space="preserve">Minuta preparada para revisão jurídica. Sem efeito até aprovação e assinatura.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12">
    <w:nsid w:val="A9941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pt-BR"/>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Política de Retenção e Descarte de Dados</dc:title>
  <dc:creator/>
  <dc:language>pt-BR</dc:language>
  <cp:keywords/>
  <dcterms:created xsi:type="dcterms:W3CDTF">2026-09-26T10:52:22Z</dcterms:created>
  <dcterms:modified xsi:type="dcterms:W3CDTF">2026-09-26T10:52:22Z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public</vt:lpwstr>
  </property>
  <property fmtid="{D5CDD505-2E9C-101B-9397-08002B2CF9AE}" pid="3" name="effective">
    <vt:lpwstr>2026-10-01</vt:lpwstr>
  </property>
  <property fmtid="{D5CDD505-2E9C-101B-9397-08002B2CF9AE}" pid="4" name="id">
    <vt:lpwstr>data-retention</vt:lpwstr>
  </property>
  <property fmtid="{D5CDD505-2E9C-101B-9397-08002B2CF9AE}" pid="5" name="owner">
    <vt:lpwstr>Fundador e Diretor, Setti Group</vt:lpwstr>
  </property>
  <property fmtid="{D5CDD505-2E9C-101B-9397-08002B2CF9AE}" pid="6" name="summary">
    <vt:lpwstr>Por quanto tempo o Setti Group mantém cada categoria de registro e de dado pessoal, e como são descartados com segurança ao fim desse prazo.</vt:lpwstr>
  </property>
  <property fmtid="{D5CDD505-2E9C-101B-9397-08002B2CF9AE}" pid="7" name="version">
    <vt:lpwstr>1.0</vt:lpwstr>
  </property>
</Properties>
</file>