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Política de Conflitos de Interesse, Presentes e Hospitalidade</w:t>
      </w:r>
    </w:p>
    <w:bookmarkStart w:id="20" w:name="finalidade-e-abrangência"/>
    <w:p>
      <w:pPr>
        <w:pStyle w:val="Heading2"/>
      </w:pPr>
      <w:r>
        <w:t xml:space="preserve">Finalidade e abrangência</w:t>
      </w:r>
    </w:p>
    <w:p>
      <w:pPr>
        <w:pStyle w:val="FirstParagraph"/>
      </w:pPr>
      <w:r>
        <w:t xml:space="preserve">Esta política explica como a Setti Group gere conflitos de interesse e controla presentes, hospitalidade, viagens e entretenimento dados ou recebidos no curso dos negócios. Aplica-se à</w:t>
      </w:r>
      <w:r>
        <w:t xml:space="preserve"> </w:t>
      </w:r>
      <w:r>
        <w:rPr>
          <w:bCs/>
          <w:b/>
        </w:rPr>
        <w:t xml:space="preserve">Setti Group FZC</w:t>
      </w:r>
      <w:r>
        <w:t xml:space="preserve"> </w:t>
      </w:r>
      <w:r>
        <w:t xml:space="preserve">(Sharjah Publishing City Free Zone, EAU) e à</w:t>
      </w:r>
      <w:r>
        <w:t xml:space="preserve"> </w:t>
      </w:r>
      <w:r>
        <w:rPr>
          <w:bCs/>
          <w:b/>
        </w:rPr>
        <w:t xml:space="preserve">Setti Group Ltda</w:t>
      </w:r>
      <w:r>
        <w:t xml:space="preserve"> </w:t>
      </w:r>
      <w:r>
        <w:t xml:space="preserve">(CNPJ 69.086.322/0001-00, Fortaleza, Ceará, Brasil; nome fantasia SetFit), em conjunto</w:t>
      </w:r>
      <w:r>
        <w:t xml:space="preserve"> </w:t>
      </w:r>
      <w:r>
        <w:t xml:space="preserve">“</w:t>
      </w:r>
      <w:r>
        <w:t xml:space="preserve">Setti Group</w:t>
      </w:r>
      <w:r>
        <w:t xml:space="preserve">”</w:t>
      </w:r>
      <w:r>
        <w:t xml:space="preserve"> </w:t>
      </w:r>
      <w:r>
        <w:t xml:space="preserve">ou</w:t>
      </w:r>
      <w:r>
        <w:t xml:space="preserve"> </w:t>
      </w:r>
      <w:r>
        <w:t xml:space="preserve">“</w:t>
      </w:r>
      <w:r>
        <w:t xml:space="preserve">o Grupo</w:t>
      </w:r>
      <w:r>
        <w:t xml:space="preserve">”</w:t>
      </w:r>
      <w:r>
        <w:t xml:space="preserve">, a todos os Colaboradores e aos agentes e intermediários que atuem pelo Grupo.</w:t>
      </w:r>
    </w:p>
    <w:p>
      <w:pPr>
        <w:pStyle w:val="BodyText"/>
      </w:pPr>
      <w:r>
        <w:t xml:space="preserve">O Grupo é pequeno e seu Fundador e Diretor participa pessoalmente da maioria dos relacionamentos com clientes, treinadores, software e trading, incluindo a parceira comercial de vínculo familiar BS Agrícola Ltda. Essa proximidade torna ainda mais importantes as regras claras de declaração e registro.</w:t>
      </w:r>
    </w:p>
    <w:bookmarkEnd w:id="20"/>
    <w:bookmarkStart w:id="21" w:name="declaração-de-política"/>
    <w:p>
      <w:pPr>
        <w:pStyle w:val="Heading2"/>
      </w:pPr>
      <w:r>
        <w:t xml:space="preserve">Declaração de política</w:t>
      </w:r>
    </w:p>
    <w:p>
      <w:pPr>
        <w:pStyle w:val="FirstParagraph"/>
      </w:pPr>
      <w:r>
        <w:t xml:space="preserve">As decisões tomadas pela Setti Group devem servir ao Grupo e a seus clientes, não ao interesse pessoal de quem decide. Os Colaboradores devem evitar conflitos sempre que possível, declará-los por escrito quando não puderem ser evitados e afastar-se da decisão quando o Fundador e Diretor assim exigir. Presentes e hospitalidade podem ser uma cortesia normal; jamais podem ser, ou parecer ser, um meio de influenciar uma decisão. Qualquer coisa acima do limite desta política exige aprovação prévia e lançamento no registro de presentes.</w:t>
      </w:r>
    </w:p>
    <w:bookmarkEnd w:id="21"/>
    <w:bookmarkStart w:id="22" w:name="definições"/>
    <w:p>
      <w:pPr>
        <w:pStyle w:val="Heading2"/>
      </w:pPr>
      <w:r>
        <w:t xml:space="preserve">Definições</w:t>
      </w:r>
    </w:p>
    <w:p>
      <w:pPr>
        <w:numPr>
          <w:ilvl w:val="0"/>
          <w:numId w:val="1001"/>
        </w:numPr>
        <w:pStyle w:val="Compact"/>
      </w:pPr>
      <w:r>
        <w:rPr>
          <w:bCs/>
          <w:b/>
        </w:rPr>
        <w:t xml:space="preserve">Conflito de interesses</w:t>
      </w:r>
      <w:r>
        <w:t xml:space="preserve">: interesse pessoal, familiar, financeiro ou externo de outra natureza capaz de influenciar, ou razoavelmente parecer influenciar, o julgamento de uma pessoa em nome do Grupo; real, potencial ou aparente.</w:t>
      </w:r>
    </w:p>
    <w:p>
      <w:pPr>
        <w:numPr>
          <w:ilvl w:val="0"/>
          <w:numId w:val="1001"/>
        </w:numPr>
        <w:pStyle w:val="Compact"/>
      </w:pPr>
      <w:r>
        <w:rPr>
          <w:bCs/>
          <w:b/>
        </w:rPr>
        <w:t xml:space="preserve">Familiar</w:t>
      </w:r>
      <w:r>
        <w:t xml:space="preserve">: cônjuge ou companheiro(a), pai ou mãe, filho(a), irmão(ã), parente por afinidade ou qualquer pessoa do mesmo domicílio.</w:t>
      </w:r>
    </w:p>
    <w:p>
      <w:pPr>
        <w:numPr>
          <w:ilvl w:val="0"/>
          <w:numId w:val="1001"/>
        </w:numPr>
        <w:pStyle w:val="Compact"/>
      </w:pPr>
      <w:r>
        <w:rPr>
          <w:bCs/>
          <w:b/>
        </w:rPr>
        <w:t xml:space="preserve">Presente</w:t>
      </w:r>
      <w:r>
        <w:t xml:space="preserve">: qualquer coisa de valor dada ou recebida sem pagamento, incluindo bens, vales, descontos não públicos, ingressos e serviços.</w:t>
      </w:r>
    </w:p>
    <w:p>
      <w:pPr>
        <w:numPr>
          <w:ilvl w:val="0"/>
          <w:numId w:val="1001"/>
        </w:numPr>
        <w:pStyle w:val="Compact"/>
      </w:pPr>
      <w:r>
        <w:rPr>
          <w:bCs/>
          <w:b/>
        </w:rPr>
        <w:t xml:space="preserve">Hospitalidade</w:t>
      </w:r>
      <w:r>
        <w:t xml:space="preserve">: refeições, bebidas, hospedagem, viagens, entretenimento ou eventos oferecidos por ou a um parceiro de negócios.</w:t>
      </w:r>
    </w:p>
    <w:p>
      <w:pPr>
        <w:numPr>
          <w:ilvl w:val="0"/>
          <w:numId w:val="1001"/>
        </w:numPr>
        <w:pStyle w:val="Compact"/>
      </w:pPr>
      <w:r>
        <w:rPr>
          <w:bCs/>
          <w:b/>
        </w:rPr>
        <w:t xml:space="preserve">Limite</w:t>
      </w:r>
      <w:r>
        <w:t xml:space="preserve">: USD 100, ou o equivalente a BRL 500, ou o equivalente em qualquer outra moeda, por ocasião e por pessoa.</w:t>
      </w:r>
    </w:p>
    <w:p>
      <w:pPr>
        <w:numPr>
          <w:ilvl w:val="0"/>
          <w:numId w:val="1001"/>
        </w:numPr>
        <w:pStyle w:val="Compact"/>
      </w:pPr>
      <w:r>
        <w:rPr>
          <w:bCs/>
          <w:b/>
        </w:rPr>
        <w:t xml:space="preserve">Registro de presentes</w:t>
      </w:r>
      <w:r>
        <w:t xml:space="preserve">: o registro de presentes e hospitalidade mantido pelo Fundador e Diretor.</w:t>
      </w:r>
    </w:p>
    <w:bookmarkEnd w:id="22"/>
    <w:bookmarkStart w:id="23" w:name="responsabilidades"/>
    <w:p>
      <w:pPr>
        <w:pStyle w:val="Heading2"/>
      </w:pPr>
      <w:r>
        <w:t xml:space="preserve">Responsabilidades</w:t>
      </w:r>
    </w:p>
    <w:p>
      <w:pPr>
        <w:numPr>
          <w:ilvl w:val="0"/>
          <w:numId w:val="1002"/>
        </w:numPr>
        <w:pStyle w:val="Compact"/>
      </w:pPr>
      <w:r>
        <w:t xml:space="preserve">O</w:t>
      </w:r>
      <w:r>
        <w:t xml:space="preserve"> </w:t>
      </w:r>
      <w:r>
        <w:rPr>
          <w:bCs/>
          <w:b/>
        </w:rPr>
        <w:t xml:space="preserve">Fundador e Diretor</w:t>
      </w:r>
      <w:r>
        <w:t xml:space="preserve"> </w:t>
      </w:r>
      <w:r>
        <w:t xml:space="preserve">é o responsável por esta política, decide sobre as declarações de conflito, mantém o registro de presentes, aprova ou recusa presentes e hospitalidade acima do limite e registra seus próprios conflitos e presentes no mesmo registro. Quando ele próprio estiver em conflito em decisão relevante, registra o conflito e obtém segunda opinião escrita de um consultor independente.</w:t>
      </w:r>
    </w:p>
    <w:p>
      <w:pPr>
        <w:numPr>
          <w:ilvl w:val="0"/>
          <w:numId w:val="1002"/>
        </w:numPr>
        <w:pStyle w:val="Compact"/>
      </w:pPr>
      <w:r>
        <w:t xml:space="preserve">Os</w:t>
      </w:r>
      <w:r>
        <w:t xml:space="preserve"> </w:t>
      </w:r>
      <w:r>
        <w:rPr>
          <w:bCs/>
          <w:b/>
        </w:rPr>
        <w:t xml:space="preserve">Colaboradores</w:t>
      </w:r>
      <w:r>
        <w:t xml:space="preserve"> </w:t>
      </w:r>
      <w:r>
        <w:t xml:space="preserve">devem preencher uma declaração de conflitos ao ingressar, atualizá-la quando as circunstâncias mudarem e pelo menos anualmente, e registrar presentes e hospitalidade conforme aqui exigido.</w:t>
      </w:r>
    </w:p>
    <w:p>
      <w:pPr>
        <w:numPr>
          <w:ilvl w:val="0"/>
          <w:numId w:val="1002"/>
        </w:numPr>
        <w:pStyle w:val="Compact"/>
      </w:pPr>
      <w:r>
        <w:rPr>
          <w:bCs/>
          <w:b/>
        </w:rPr>
        <w:t xml:space="preserve">Agentes e intermediários</w:t>
      </w:r>
      <w:r>
        <w:t xml:space="preserve"> </w:t>
      </w:r>
      <w:r>
        <w:t xml:space="preserve">devem revelar qualquer relacionamento com clientes, contrapartes ou agentes públicos ligados ao Grupo antes da contratação.</w:t>
      </w:r>
    </w:p>
    <w:bookmarkEnd w:id="23"/>
    <w:bookmarkStart w:id="24" w:name="requisitos"/>
    <w:p>
      <w:pPr>
        <w:pStyle w:val="Heading2"/>
      </w:pPr>
      <w:r>
        <w:t xml:space="preserve">Requisitos</w:t>
      </w:r>
    </w:p>
    <w:p>
      <w:pPr>
        <w:numPr>
          <w:ilvl w:val="0"/>
          <w:numId w:val="1003"/>
        </w:numPr>
        <w:pStyle w:val="Compact"/>
      </w:pPr>
      <w:r>
        <w:rPr>
          <w:bCs/>
          <w:b/>
        </w:rPr>
        <w:t xml:space="preserve">Declaração.</w:t>
      </w:r>
      <w:r>
        <w:t xml:space="preserve"> </w:t>
      </w:r>
      <w:r>
        <w:t xml:space="preserve">Todos os Colaboradores devem declarar por escrito ao Fundador e Diretor, ao ingressar e pelo menos a cada 12 meses, qualquer emprego externo, cargo de direção, participação societária acima de 5%, relação familiar ou interesse financeiro relacionado a cliente, fornecedor, contraparte, concorrente ou órgão público que negocie com o Grupo. Um novo conflito deve ser declarado em até cinco dias úteis.</w:t>
      </w:r>
    </w:p>
    <w:p>
      <w:pPr>
        <w:numPr>
          <w:ilvl w:val="0"/>
          <w:numId w:val="1003"/>
        </w:numPr>
        <w:pStyle w:val="Compact"/>
      </w:pPr>
      <w:r>
        <w:rPr>
          <w:bCs/>
          <w:b/>
        </w:rPr>
        <w:t xml:space="preserve">Conflitos típicos</w:t>
      </w:r>
      <w:r>
        <w:t xml:space="preserve"> </w:t>
      </w:r>
      <w:r>
        <w:t xml:space="preserve">incluem: familiar empregado por cliente, autoridade pública ou pela BS Agrícola Ltda; interesse financeiro pessoal em operação de commodities, navio ou contraparte; treinador ou usuário do SetFit que seja parente; relacionamento pessoal com decisor de cliente; trabalho externo de consultoria ou treinamento em HSSE.</w:t>
      </w:r>
    </w:p>
    <w:p>
      <w:pPr>
        <w:numPr>
          <w:ilvl w:val="0"/>
          <w:numId w:val="1003"/>
        </w:numPr>
        <w:pStyle w:val="Compact"/>
      </w:pPr>
      <w:r>
        <w:rPr>
          <w:bCs/>
          <w:b/>
        </w:rPr>
        <w:t xml:space="preserve">Gestão dos conflitos.</w:t>
      </w:r>
      <w:r>
        <w:t xml:space="preserve"> </w:t>
      </w:r>
      <w:r>
        <w:t xml:space="preserve">O Fundador e Diretor decide por escrito se o conflito é aceitável, aceitável com condições (por exemplo, a pessoa se afasta da decisão ou uma segunda pessoa revisa a precificação) ou inaceitável. A decisão é registrada junto com a declaração.</w:t>
      </w:r>
    </w:p>
    <w:p>
      <w:pPr>
        <w:numPr>
          <w:ilvl w:val="0"/>
          <w:numId w:val="1003"/>
        </w:numPr>
        <w:pStyle w:val="Compact"/>
      </w:pPr>
      <w:r>
        <w:rPr>
          <w:bCs/>
          <w:b/>
        </w:rPr>
        <w:t xml:space="preserve">Transações com partes relacionadas.</w:t>
      </w:r>
      <w:r>
        <w:t xml:space="preserve"> </w:t>
      </w:r>
      <w:r>
        <w:t xml:space="preserve">Qualquer transação entre o Grupo e familiar de Colaborador, ou entidade por ele controlada, incluindo a BS Agrícola Ltda, deve ocorrer em condições de mercado documentadas, aprovadas por escrito pelo Fundador e Diretor e identificáveis na contabilidade.</w:t>
      </w:r>
    </w:p>
    <w:p>
      <w:pPr>
        <w:numPr>
          <w:ilvl w:val="0"/>
          <w:numId w:val="1003"/>
        </w:numPr>
        <w:pStyle w:val="Compact"/>
      </w:pPr>
      <w:r>
        <w:rPr>
          <w:bCs/>
          <w:b/>
        </w:rPr>
        <w:t xml:space="preserve">Atividades externas.</w:t>
      </w:r>
      <w:r>
        <w:t xml:space="preserve"> </w:t>
      </w:r>
      <w:r>
        <w:t xml:space="preserve">Os Colaboradores não podem prestar consultoria, treinamento ou trabalho de software em HSSE remunerado para clientes ou concorrentes do Grupo sem aprovação prévia e escrita. Outros trabalhos externos não podem usar tempo, equipamentos ou informações confidenciais do Grupo.</w:t>
      </w:r>
    </w:p>
    <w:p>
      <w:pPr>
        <w:numPr>
          <w:ilvl w:val="0"/>
          <w:numId w:val="1003"/>
        </w:numPr>
        <w:pStyle w:val="Compact"/>
      </w:pPr>
      <w:r>
        <w:rPr>
          <w:bCs/>
          <w:b/>
        </w:rPr>
        <w:t xml:space="preserve">Limites gerais.</w:t>
      </w:r>
      <w:r>
        <w:t xml:space="preserve"> </w:t>
      </w:r>
      <w:r>
        <w:t xml:space="preserve">Presentes e hospitalidade devem ser infrequentes, modestos, adequados ao relacionamento, não solicitados e jamais oferecidos durante licitação, negociação, auditoria, inspeção ou indicação de preço em que o destinatário influencie o resultado.</w:t>
      </w:r>
    </w:p>
    <w:p>
      <w:pPr>
        <w:numPr>
          <w:ilvl w:val="0"/>
          <w:numId w:val="1003"/>
        </w:numPr>
        <w:pStyle w:val="Compact"/>
      </w:pPr>
      <w:r>
        <w:rPr>
          <w:bCs/>
          <w:b/>
        </w:rPr>
        <w:t xml:space="preserve">Sempre proibidos:</w:t>
      </w:r>
      <w:r>
        <w:t xml:space="preserve"> </w:t>
      </w:r>
      <w:r>
        <w:t xml:space="preserve">dinheiro ou equivalentes (cartões-presente, cartões pré-pagos, criptoativos, vales conversíveis em dinheiro), empréstimos, entretenimento adulto, presentes a ou de agentes públicos sem aprovação prévia e escrita, e qualquer coisa oferecida em troca de, ou na expectativa de, uma decisão de negócios.</w:t>
      </w:r>
    </w:p>
    <w:p>
      <w:pPr>
        <w:numPr>
          <w:ilvl w:val="0"/>
          <w:numId w:val="1003"/>
        </w:numPr>
        <w:pStyle w:val="Compact"/>
      </w:pPr>
      <w:r>
        <w:rPr>
          <w:bCs/>
          <w:b/>
        </w:rPr>
        <w:t xml:space="preserve">Limite de valor.</w:t>
      </w:r>
      <w:r>
        <w:t xml:space="preserve"> </w:t>
      </w:r>
      <w:r>
        <w:t xml:space="preserve">Presentes ou hospitalidade abaixo de USD 100 (ou o equivalente a BRL 500) por pessoa e por ocasião podem ser dados ou aceitos sem aprovação prévia, desde que atendidos os itens 6 e 7. Qualquer coisa no limite ou acima dele, e qualquer coisa de uma mesma fonte que exceda USD 300 (ou o equivalente a BRL 1.500) no total em 12 meses, exige aprovação prévia e escrita do Fundador e Diretor.</w:t>
      </w:r>
    </w:p>
    <w:p>
      <w:pPr>
        <w:numPr>
          <w:ilvl w:val="0"/>
          <w:numId w:val="1003"/>
        </w:numPr>
        <w:pStyle w:val="Compact"/>
      </w:pPr>
      <w:r>
        <w:rPr>
          <w:bCs/>
          <w:b/>
        </w:rPr>
        <w:t xml:space="preserve">Registro de presentes.</w:t>
      </w:r>
      <w:r>
        <w:t xml:space="preserve"> </w:t>
      </w:r>
      <w:r>
        <w:t xml:space="preserve">Todos os presentes e hospitalidades no limite ou acima dele, aprovados, recusados, dados ou recebidos, devem ser lançados no registro de presentes em até cinco dias úteis, com data, ofertante, destinatário, descrição, valor estimado, finalidade comercial e decisão de aprovação. Presentes de qualquer valor vindos de agentes públicos ou contrapartes de trading também devem ser registrados. O Fundador e Diretor mantém o registro e o revisa trimestralmente.</w:t>
      </w:r>
    </w:p>
    <w:p>
      <w:pPr>
        <w:numPr>
          <w:ilvl w:val="0"/>
          <w:numId w:val="1003"/>
        </w:numPr>
        <w:pStyle w:val="Compact"/>
      </w:pPr>
      <w:r>
        <w:rPr>
          <w:bCs/>
          <w:b/>
        </w:rPr>
        <w:t xml:space="preserve">Viagens e hospedagem.</w:t>
      </w:r>
      <w:r>
        <w:t xml:space="preserve"> </w:t>
      </w:r>
      <w:r>
        <w:t xml:space="preserve">Parceiros de negócios não podem custear viagens ou hospedagem de Colaboradores. Para treinamentos no local ou visitas a sites, o Grupo fatura os custos de viagem ou os assume. O Grupo pode custear viagem razoável de pessoal do cliente somente quando necessário a um serviço entregue e com aprovação prévia e escrita.</w:t>
      </w:r>
    </w:p>
    <w:p>
      <w:pPr>
        <w:numPr>
          <w:ilvl w:val="0"/>
          <w:numId w:val="1003"/>
        </w:numPr>
        <w:pStyle w:val="Compact"/>
      </w:pPr>
      <w:r>
        <w:rPr>
          <w:bCs/>
          <w:b/>
        </w:rPr>
        <w:t xml:space="preserve">Eventos.</w:t>
      </w:r>
      <w:r>
        <w:t xml:space="preserve"> </w:t>
      </w:r>
      <w:r>
        <w:t xml:space="preserve">A participação em conferências ou eventos setoriais patrocinados por fornecedores é permitida quando há finalidade comercial clara, o Grupo custeia a própria viagem e o convite é lançado no registro.</w:t>
      </w:r>
    </w:p>
    <w:p>
      <w:pPr>
        <w:numPr>
          <w:ilvl w:val="0"/>
          <w:numId w:val="1003"/>
        </w:numPr>
        <w:pStyle w:val="Compact"/>
      </w:pPr>
      <w:r>
        <w:rPr>
          <w:bCs/>
          <w:b/>
        </w:rPr>
        <w:t xml:space="preserve">Recusa e devolução.</w:t>
      </w:r>
      <w:r>
        <w:t xml:space="preserve"> </w:t>
      </w:r>
      <w:r>
        <w:t xml:space="preserve">Presente que não possa ser aceito deve ser educadamente recusado ou devolvido com referência a esta política. Quando a devolução causar ofensa, o presente pode ser aceito em nome do Grupo, registrado e doado a instituição beneficente escolhida pelo Fundador e Diretor.</w:t>
      </w:r>
    </w:p>
    <w:p>
      <w:pPr>
        <w:numPr>
          <w:ilvl w:val="0"/>
          <w:numId w:val="1003"/>
        </w:numPr>
        <w:pStyle w:val="Compact"/>
      </w:pPr>
      <w:r>
        <w:rPr>
          <w:bCs/>
          <w:b/>
        </w:rPr>
        <w:t xml:space="preserve">SetFit e Arcas GRC.</w:t>
      </w:r>
      <w:r>
        <w:t xml:space="preserve"> </w:t>
      </w:r>
      <w:r>
        <w:t xml:space="preserve">Os Colaboradores não devem aceitar presentes, comissões ou benefícios de personal trainers, academias ou clientes corporativos em troca de tratamento preferencial nas plataformas, priorização de funcionalidades ou acesso a dados de usuários, incluindo dados de saúde e condicionamento físico. Qualquer oferta desse tipo é reportada e registrada.</w:t>
      </w:r>
    </w:p>
    <w:p>
      <w:pPr>
        <w:numPr>
          <w:ilvl w:val="0"/>
          <w:numId w:val="1003"/>
        </w:numPr>
        <w:pStyle w:val="Compact"/>
      </w:pPr>
      <w:r>
        <w:rPr>
          <w:bCs/>
          <w:b/>
        </w:rPr>
        <w:t xml:space="preserve">Agentes e intermediários</w:t>
      </w:r>
      <w:r>
        <w:t xml:space="preserve"> </w:t>
      </w:r>
      <w:r>
        <w:t xml:space="preserve">que atuem pelo Grupo devem aplicar estes limites no trato com clientes e contrapartes do Grupo e reportar presentes e hospitalidade que ofereçam em nome do Grupo.</w:t>
      </w:r>
    </w:p>
    <w:p>
      <w:pPr>
        <w:numPr>
          <w:ilvl w:val="0"/>
          <w:numId w:val="1003"/>
        </w:numPr>
        <w:pStyle w:val="Compact"/>
      </w:pPr>
      <w:r>
        <w:rPr>
          <w:bCs/>
          <w:b/>
        </w:rPr>
        <w:t xml:space="preserve">Registros.</w:t>
      </w:r>
      <w:r>
        <w:t xml:space="preserve"> </w:t>
      </w:r>
      <w:r>
        <w:t xml:space="preserve">As declarações e o registro de presentes são mantidos por pelo menos 10 anos e ficam disponíveis para auditoria de clientes conforme direitos contratuais de auditoria.</w:t>
      </w:r>
    </w:p>
    <w:bookmarkEnd w:id="24"/>
    <w:bookmarkStart w:id="25" w:name="comunicação-violações-e-consequências"/>
    <w:p>
      <w:pPr>
        <w:pStyle w:val="Heading2"/>
      </w:pPr>
      <w:r>
        <w:t xml:space="preserve">Comunicação, violações e consequências</w:t>
      </w:r>
    </w:p>
    <w:p>
      <w:pPr>
        <w:pStyle w:val="FirstParagraph"/>
      </w:pPr>
      <w:r>
        <w:t xml:space="preserve">Dúvidas e declarações vão ao Fundador e Diretor ou a compliance@settigroup.com. Preocupações sobre conflito não declarado ou presente indevido podem ser levantadas por speakup@settigroup.com (denúncias anônimas são aceitas) ou por correio ao endereço registrado de qualquer das entidades do Grupo.</w:t>
      </w:r>
    </w:p>
    <w:p>
      <w:pPr>
        <w:pStyle w:val="BodyText"/>
      </w:pPr>
      <w:r>
        <w:t xml:space="preserve">Deixar de declarar um conflito, aceitar presente proibido ou deixar de registrar presente no limite ou acima dele constitui violação desta política e do Código de Conduta e Ética Empresarial. As consequências vão de advertência escrita a rescisão do contrato de trabalho ou de prestação de serviços nos termos da legislação trabalhista aplicável e, quando o presente configurar suborno, comunicação às autoridades nos termos da Política Anticorrupção e Antissuborno.</w:t>
      </w:r>
    </w:p>
    <w:bookmarkEnd w:id="25"/>
    <w:bookmarkStart w:id="26" w:name="políticas-relacionadas-e-referências"/>
    <w:p>
      <w:pPr>
        <w:pStyle w:val="Heading2"/>
      </w:pPr>
      <w:r>
        <w:t xml:space="preserve">Políticas relacionadas e referências</w:t>
      </w:r>
    </w:p>
    <w:p>
      <w:pPr>
        <w:numPr>
          <w:ilvl w:val="0"/>
          <w:numId w:val="1004"/>
        </w:numPr>
        <w:pStyle w:val="Compact"/>
      </w:pPr>
      <w:r>
        <w:t xml:space="preserve">Código de Conduta e Ética Empresarial</w:t>
      </w:r>
    </w:p>
    <w:p>
      <w:pPr>
        <w:numPr>
          <w:ilvl w:val="0"/>
          <w:numId w:val="1004"/>
        </w:numPr>
        <w:pStyle w:val="Compact"/>
      </w:pPr>
      <w:r>
        <w:t xml:space="preserve">Política Anticorrupção e Antissuborno</w:t>
      </w:r>
    </w:p>
    <w:p>
      <w:pPr>
        <w:numPr>
          <w:ilvl w:val="0"/>
          <w:numId w:val="1004"/>
        </w:numPr>
        <w:pStyle w:val="Compact"/>
      </w:pPr>
      <w:r>
        <w:t xml:space="preserve">Política de Canal de Denúncias e Não Retaliação</w:t>
      </w:r>
    </w:p>
    <w:p>
      <w:pPr>
        <w:numPr>
          <w:ilvl w:val="0"/>
          <w:numId w:val="1004"/>
        </w:numPr>
        <w:pStyle w:val="Compact"/>
      </w:pPr>
      <w:r>
        <w:t xml:space="preserve">Política de Due Diligence de Terceiros e KYC</w:t>
      </w:r>
    </w:p>
    <w:p>
      <w:pPr>
        <w:numPr>
          <w:ilvl w:val="0"/>
          <w:numId w:val="1004"/>
        </w:numPr>
        <w:pStyle w:val="Compact"/>
      </w:pPr>
      <w:r>
        <w:t xml:space="preserve">EAU: Decreto-Lei Federal nº 31/2021 (dispositivos sobre suborno); Decreto-Lei Federal nº 33/2021 (Lei Trabalhista)</w:t>
      </w:r>
    </w:p>
    <w:p>
      <w:pPr>
        <w:numPr>
          <w:ilvl w:val="0"/>
          <w:numId w:val="1004"/>
        </w:numPr>
        <w:pStyle w:val="Compact"/>
      </w:pPr>
      <w:r>
        <w:t xml:space="preserve">Brasil: Lei 12.846/2013 e Decreto 11.129/2022; CLT (Decreto-Lei 5.452/1943)</w:t>
      </w:r>
    </w:p>
    <w:p>
      <w:pPr>
        <w:numPr>
          <w:ilvl w:val="0"/>
          <w:numId w:val="1004"/>
        </w:numPr>
        <w:pStyle w:val="Compact"/>
      </w:pPr>
      <w:r>
        <w:t xml:space="preserve">UK Bribery Act 2010; FCPA (EUA); ISO 37001 (apenas referência; a Setti Group não é certificada)</w:t>
      </w:r>
    </w:p>
    <w:bookmarkEnd w:id="26"/>
    <w:bookmarkStart w:id="27" w:name="revisão-e-aprovação"/>
    <w:p>
      <w:pPr>
        <w:pStyle w:val="Heading2"/>
      </w:pPr>
      <w:r>
        <w:t xml:space="preserve">Revisão e aprovação</w:t>
      </w:r>
    </w:p>
    <w:p>
      <w:pPr>
        <w:pStyle w:val="FirstParagraph"/>
      </w:pPr>
      <w:r>
        <w:t xml:space="preserve">Versão 1.0, vigente a partir de 1º de outubro de 2026. Aprovada pelo Fundador e Diretor, Setti Group. Revisada anualmente ou em caso de alteração relevante da lei. Os valores-limite são revisados anualmente frente às taxas de câmbio e à prática local.</w:t>
      </w:r>
    </w:p>
    <w:p>
      <w:pPr>
        <w:pStyle w:val="BlockText"/>
      </w:pPr>
      <w:r>
        <w:t xml:space="preserve">Minuta preparada para revisão jurídica. Sem efeito até aprovação e assinatura.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pt-BR"/>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Política de Conflitos de Interesse, Presentes e Hospitalidade</dc:title>
  <dc:creator/>
  <dc:language>pt-BR</dc:language>
  <cp:keywords/>
  <dcterms:created xsi:type="dcterms:W3CDTF">2026-09-26T10:52:21Z</dcterms:created>
  <dcterms:modified xsi:type="dcterms:W3CDTF">2026-09-26T10:52:21Z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public</vt:lpwstr>
  </property>
  <property fmtid="{D5CDD505-2E9C-101B-9397-08002B2CF9AE}" pid="3" name="effective">
    <vt:lpwstr>2026-10-01</vt:lpwstr>
  </property>
  <property fmtid="{D5CDD505-2E9C-101B-9397-08002B2CF9AE}" pid="4" name="id">
    <vt:lpwstr>conflicts-gifts</vt:lpwstr>
  </property>
  <property fmtid="{D5CDD505-2E9C-101B-9397-08002B2CF9AE}" pid="5" name="owner">
    <vt:lpwstr>Fundador e Diretor, Setti Group</vt:lpwstr>
  </property>
  <property fmtid="{D5CDD505-2E9C-101B-9397-08002B2CF9AE}" pid="6" name="summary">
    <vt:lpwstr>Exige a declaração e a gestão de conflitos de interesse e estabelece limites, regras de aprovação e um registro para presentes e hospitalidade dados ou recebidos.</vt:lpwstr>
  </property>
  <property fmtid="{D5CDD505-2E9C-101B-9397-08002B2CF9AE}" pid="7" name="version">
    <vt:lpwstr>1.0</vt:lpwstr>
  </property>
</Properties>
</file>