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Code of Conduct and Business Ethics</w:t>
      </w:r>
    </w:p>
    <w:bookmarkStart w:id="20" w:name="purpose-and-scope"/>
    <w:p>
      <w:pPr>
        <w:pStyle w:val="Heading2"/>
      </w:pPr>
      <w:r>
        <w:t xml:space="preserve">Purpose and scope</w:t>
      </w:r>
    </w:p>
    <w:p>
      <w:pPr>
        <w:pStyle w:val="FirstParagraph"/>
      </w:pPr>
      <w:r>
        <w:t xml:space="preserve">This Code of Conduct and Business Ethics (</w:t>
      </w:r>
      <w:r>
        <w:t xml:space="preserve">“</w:t>
      </w:r>
      <w:r>
        <w:t xml:space="preserve">the Code</w:t>
      </w:r>
      <w:r>
        <w:t xml:space="preserve">”</w:t>
      </w:r>
      <w:r>
        <w:t xml:space="preserve">) sets out how Setti Group does business. It applies to</w:t>
      </w:r>
      <w:r>
        <w:t xml:space="preserve"> </w:t>
      </w:r>
      <w:r>
        <w:rPr>
          <w:bCs/>
          <w:b/>
        </w:rPr>
        <w:t xml:space="preserve">Setti Group FZC</w:t>
      </w:r>
      <w:r>
        <w:t xml:space="preserve"> </w:t>
      </w:r>
      <w:r>
        <w:t xml:space="preserve">(Sharjah Publishing City Free Zone, United Arab Emirates) and</w:t>
      </w:r>
      <w:r>
        <w:t xml:space="preserve"> </w:t>
      </w:r>
      <w:r>
        <w:rPr>
          <w:bCs/>
          <w:b/>
        </w:rPr>
        <w:t xml:space="preserve">Setti Group Ltda</w:t>
      </w:r>
      <w:r>
        <w:t xml:space="preserve"> </w:t>
      </w:r>
      <w:r>
        <w:t xml:space="preserve">(CNPJ 69.086.322/0001-00, Fortaleza, Ceará, Brazil; trade name SetFit), together</w:t>
      </w:r>
      <w:r>
        <w:t xml:space="preserve"> </w:t>
      </w:r>
      <w:r>
        <w:t xml:space="preserve">“</w:t>
      </w:r>
      <w:r>
        <w:t xml:space="preserve">Setti Group</w:t>
      </w:r>
      <w:r>
        <w:t xml:space="preserve">”</w:t>
      </w:r>
      <w:r>
        <w:t xml:space="preserve"> </w:t>
      </w:r>
      <w:r>
        <w:t xml:space="preserve">or</w:t>
      </w:r>
      <w:r>
        <w:t xml:space="preserve"> </w:t>
      </w:r>
      <w:r>
        <w:t xml:space="preserve">“</w:t>
      </w:r>
      <w:r>
        <w:t xml:space="preserve">the Group</w:t>
      </w:r>
      <w:r>
        <w:t xml:space="preserve">”</w:t>
      </w:r>
      <w:r>
        <w:t xml:space="preserve">.</w:t>
      </w:r>
    </w:p>
    <w:p>
      <w:pPr>
        <w:pStyle w:val="BodyText"/>
      </w:pPr>
      <w:r>
        <w:t xml:space="preserve">The Code binds all Personnel and, through contract, agents, intermediaries and suppliers acting on the Group’s behalf. It covers all three lines of activity: HSSE consulting and training (including IOSH Managing Safely), the software platforms Arcas GRC and SetFit, and commodity trade intermediation with BS Agrícola Ltda (Londrina, PR). Where local law and this Code differ, the stricter rule applies.</w:t>
      </w:r>
    </w:p>
    <w:bookmarkEnd w:id="20"/>
    <w:bookmarkStart w:id="21" w:name="policy-statement"/>
    <w:p>
      <w:pPr>
        <w:pStyle w:val="Heading2"/>
      </w:pPr>
      <w:r>
        <w:t xml:space="preserve">Policy statement</w:t>
      </w:r>
    </w:p>
    <w:p>
      <w:pPr>
        <w:pStyle w:val="FirstParagraph"/>
      </w:pPr>
      <w:r>
        <w:t xml:space="preserve">Setti Group earns its clients’ trust by doing what it says, telling the truth, keeping people safe and obeying the law wherever it operates. We do not pay bribes, we do not tolerate harassment or discrimination, we protect the personal data entrusted to us, and we walk away from business that cannot be won honestly. The Founder &amp; Principal is personally accountable for this Code and expects everyone covered by it to raise concerns early.</w:t>
      </w:r>
    </w:p>
    <w:bookmarkEnd w:id="21"/>
    <w:bookmarkStart w:id="22" w:name="definitions"/>
    <w:p>
      <w:pPr>
        <w:pStyle w:val="Heading2"/>
      </w:pPr>
      <w:r>
        <w:t xml:space="preserve">Definitions</w:t>
      </w:r>
    </w:p>
    <w:p>
      <w:pPr>
        <w:numPr>
          <w:ilvl w:val="0"/>
          <w:numId w:val="1001"/>
        </w:numPr>
        <w:pStyle w:val="Compact"/>
      </w:pPr>
      <w:r>
        <w:rPr>
          <w:bCs/>
          <w:b/>
        </w:rPr>
        <w:t xml:space="preserve">Personnel</w:t>
      </w:r>
      <w:r>
        <w:t xml:space="preserve">: the Founder &amp; Principal, employees, contractors, associate trainers and interns of either entity.</w:t>
      </w:r>
    </w:p>
    <w:p>
      <w:pPr>
        <w:numPr>
          <w:ilvl w:val="0"/>
          <w:numId w:val="1001"/>
        </w:numPr>
        <w:pStyle w:val="Compact"/>
      </w:pPr>
      <w:r>
        <w:rPr>
          <w:bCs/>
          <w:b/>
        </w:rPr>
        <w:t xml:space="preserve">Business partner</w:t>
      </w:r>
      <w:r>
        <w:t xml:space="preserve">: any client, supplier, agent, intermediary or counterparty.</w:t>
      </w:r>
    </w:p>
    <w:p>
      <w:pPr>
        <w:numPr>
          <w:ilvl w:val="0"/>
          <w:numId w:val="1001"/>
        </w:numPr>
        <w:pStyle w:val="Compact"/>
      </w:pPr>
      <w:r>
        <w:rPr>
          <w:bCs/>
          <w:b/>
        </w:rPr>
        <w:t xml:space="preserve">Public official</w:t>
      </w:r>
      <w:r>
        <w:t xml:space="preserve">: any person holding public office or employed by a government, state-owned entity, free-zone, port or customs authority, or public international organisation.</w:t>
      </w:r>
    </w:p>
    <w:p>
      <w:pPr>
        <w:numPr>
          <w:ilvl w:val="0"/>
          <w:numId w:val="1001"/>
        </w:numPr>
        <w:pStyle w:val="Compact"/>
      </w:pPr>
      <w:r>
        <w:rPr>
          <w:bCs/>
          <w:b/>
        </w:rPr>
        <w:t xml:space="preserve">Conflict of interest</w:t>
      </w:r>
      <w:r>
        <w:t xml:space="preserve">: a personal, family or financial interest that could influence, or appear to influence, a decision for the Group.</w:t>
      </w:r>
    </w:p>
    <w:p>
      <w:pPr>
        <w:numPr>
          <w:ilvl w:val="0"/>
          <w:numId w:val="1001"/>
        </w:numPr>
        <w:pStyle w:val="Compact"/>
      </w:pPr>
      <w:r>
        <w:rPr>
          <w:bCs/>
          <w:b/>
        </w:rPr>
        <w:t xml:space="preserve">Personal data</w:t>
      </w:r>
      <w:r>
        <w:t xml:space="preserve">: information relating to an identified or identifiable person, including the health and fitness data processed by the SetFit app.</w:t>
      </w:r>
    </w:p>
    <w:bookmarkEnd w:id="22"/>
    <w:bookmarkStart w:id="23" w:name="responsibilities"/>
    <w:p>
      <w:pPr>
        <w:pStyle w:val="Heading2"/>
      </w:pPr>
      <w:r>
        <w:t xml:space="preserve">Responsibilities</w:t>
      </w:r>
    </w:p>
    <w:p>
      <w:pPr>
        <w:numPr>
          <w:ilvl w:val="0"/>
          <w:numId w:val="1002"/>
        </w:numPr>
        <w:pStyle w:val="Compact"/>
      </w:pPr>
      <w:r>
        <w:t xml:space="preserve">The</w:t>
      </w:r>
      <w:r>
        <w:t xml:space="preserve"> </w:t>
      </w:r>
      <w:r>
        <w:rPr>
          <w:bCs/>
          <w:b/>
        </w:rPr>
        <w:t xml:space="preserve">Founder &amp; Principal</w:t>
      </w:r>
      <w:r>
        <w:t xml:space="preserve"> </w:t>
      </w:r>
      <w:r>
        <w:t xml:space="preserve">owns this Code, approves exceptions in writing, decides on disciplinary consequences and reviews it annually.</w:t>
      </w:r>
    </w:p>
    <w:p>
      <w:pPr>
        <w:numPr>
          <w:ilvl w:val="0"/>
          <w:numId w:val="1002"/>
        </w:numPr>
        <w:pStyle w:val="Compact"/>
      </w:pPr>
      <w:r>
        <w:rPr>
          <w:bCs/>
          <w:b/>
        </w:rPr>
        <w:t xml:space="preserve">Personnel</w:t>
      </w:r>
      <w:r>
        <w:t xml:space="preserve"> </w:t>
      </w:r>
      <w:r>
        <w:t xml:space="preserve">must read the Code on joining and after each revision, act in accordance with it, complete compliance training and report suspected breaches.</w:t>
      </w:r>
    </w:p>
    <w:p>
      <w:pPr>
        <w:numPr>
          <w:ilvl w:val="0"/>
          <w:numId w:val="1002"/>
        </w:numPr>
        <w:pStyle w:val="Compact"/>
      </w:pPr>
      <w:r>
        <w:rPr>
          <w:bCs/>
          <w:b/>
        </w:rPr>
        <w:t xml:space="preserve">Business partners</w:t>
      </w:r>
      <w:r>
        <w:t xml:space="preserve"> </w:t>
      </w:r>
      <w:r>
        <w:t xml:space="preserve">acting on the Group’s behalf must accept the Code, or equivalent standards, as a condition of the engagement.</w:t>
      </w:r>
    </w:p>
    <w:p>
      <w:pPr>
        <w:numPr>
          <w:ilvl w:val="0"/>
          <w:numId w:val="1002"/>
        </w:numPr>
        <w:pStyle w:val="Compact"/>
      </w:pPr>
      <w:r>
        <w:t xml:space="preserve">The</w:t>
      </w:r>
      <w:r>
        <w:t xml:space="preserve"> </w:t>
      </w:r>
      <w:r>
        <w:rPr>
          <w:bCs/>
          <w:b/>
        </w:rPr>
        <w:t xml:space="preserve">compliance contact</w:t>
      </w:r>
      <w:r>
        <w:t xml:space="preserve"> </w:t>
      </w:r>
      <w:r>
        <w:t xml:space="preserve">(compliance@settigroup.com) answers questions about the Code.</w:t>
      </w:r>
    </w:p>
    <w:bookmarkEnd w:id="23"/>
    <w:bookmarkStart w:id="24" w:name="requirements"/>
    <w:p>
      <w:pPr>
        <w:pStyle w:val="Heading2"/>
      </w:pPr>
      <w:r>
        <w:t xml:space="preserve">Requirements</w:t>
      </w:r>
    </w:p>
    <w:p>
      <w:pPr>
        <w:numPr>
          <w:ilvl w:val="0"/>
          <w:numId w:val="1003"/>
        </w:numPr>
        <w:pStyle w:val="Compact"/>
      </w:pPr>
      <w:r>
        <w:rPr>
          <w:bCs/>
          <w:b/>
        </w:rPr>
        <w:t xml:space="preserve">Obey the law.</w:t>
      </w:r>
      <w:r>
        <w:t xml:space="preserve"> </w:t>
      </w:r>
      <w:r>
        <w:t xml:space="preserve">Personnel must comply with all applicable law, including UAE Federal Decree-Law No. 31/2021 (bribery provisions), Brazil’s Lei 12.846/2013 (Lei Anticorrupção) and, where relevant, the UK Bribery Act 2010 and the US FCPA.</w:t>
      </w:r>
    </w:p>
    <w:p>
      <w:pPr>
        <w:numPr>
          <w:ilvl w:val="0"/>
          <w:numId w:val="1003"/>
        </w:numPr>
        <w:pStyle w:val="Compact"/>
      </w:pPr>
      <w:r>
        <w:rPr>
          <w:bCs/>
          <w:b/>
        </w:rPr>
        <w:t xml:space="preserve">No bribery or corruption.</w:t>
      </w:r>
      <w:r>
        <w:t xml:space="preserve"> </w:t>
      </w:r>
      <w:r>
        <w:t xml:space="preserve">No Personnel or Business partner may offer, promise, give, request or accept anything of value to obtain or retain business or an improper advantage. Facilitation payments are prohibited. See the Anti-Bribery and Anti-Corruption Policy.</w:t>
      </w:r>
    </w:p>
    <w:p>
      <w:pPr>
        <w:numPr>
          <w:ilvl w:val="0"/>
          <w:numId w:val="1003"/>
        </w:numPr>
        <w:pStyle w:val="Compact"/>
      </w:pPr>
      <w:r>
        <w:rPr>
          <w:bCs/>
          <w:b/>
        </w:rPr>
        <w:t xml:space="preserve">Declare conflicts of interest.</w:t>
      </w:r>
      <w:r>
        <w:t xml:space="preserve"> </w:t>
      </w:r>
      <w:r>
        <w:t xml:space="preserve">Personnel must declare any conflict in writing to the Founder &amp; Principal before acting, and must follow the thresholds and gifts register in the Conflicts of Interest, Gifts and Hospitality Policy.</w:t>
      </w:r>
    </w:p>
    <w:p>
      <w:pPr>
        <w:numPr>
          <w:ilvl w:val="0"/>
          <w:numId w:val="1003"/>
        </w:numPr>
        <w:pStyle w:val="Compact"/>
      </w:pPr>
      <w:r>
        <w:rPr>
          <w:bCs/>
          <w:b/>
        </w:rPr>
        <w:t xml:space="preserve">Accurate books and records.</w:t>
      </w:r>
      <w:r>
        <w:t xml:space="preserve"> </w:t>
      </w:r>
      <w:r>
        <w:t xml:space="preserve">Every payment, invoice, expense claim, commission and trade indication must be recorded accurately and promptly, with supporting documents. No off-book accounts or false entries.</w:t>
      </w:r>
    </w:p>
    <w:p>
      <w:pPr>
        <w:numPr>
          <w:ilvl w:val="0"/>
          <w:numId w:val="1003"/>
        </w:numPr>
        <w:pStyle w:val="Compact"/>
      </w:pPr>
      <w:r>
        <w:rPr>
          <w:bCs/>
          <w:b/>
        </w:rPr>
        <w:t xml:space="preserve">Fair and honest dealing.</w:t>
      </w:r>
      <w:r>
        <w:t xml:space="preserve"> </w:t>
      </w:r>
      <w:r>
        <w:t xml:space="preserve">Personnel must not misrepresent the Group’s services, qualifications or certifications. Setti Group uses ISO standards as reference frameworks and must never present itself as certified against them.</w:t>
      </w:r>
    </w:p>
    <w:p>
      <w:pPr>
        <w:numPr>
          <w:ilvl w:val="0"/>
          <w:numId w:val="1003"/>
        </w:numPr>
        <w:pStyle w:val="Compact"/>
      </w:pPr>
      <w:r>
        <w:rPr>
          <w:bCs/>
          <w:b/>
        </w:rPr>
        <w:t xml:space="preserve">Respect and equal treatment.</w:t>
      </w:r>
      <w:r>
        <w:t xml:space="preserve"> </w:t>
      </w:r>
      <w:r>
        <w:t xml:space="preserve">The Group does not tolerate harassment, bullying or discrimination on any ground. Employment decisions are based on merit and comply with the ILO core conventions and local labour law.</w:t>
      </w:r>
    </w:p>
    <w:p>
      <w:pPr>
        <w:numPr>
          <w:ilvl w:val="0"/>
          <w:numId w:val="1003"/>
        </w:numPr>
        <w:pStyle w:val="Compact"/>
      </w:pPr>
      <w:r>
        <w:rPr>
          <w:bCs/>
          <w:b/>
        </w:rPr>
        <w:t xml:space="preserve">Health, safety and environment.</w:t>
      </w:r>
      <w:r>
        <w:t xml:space="preserve"> </w:t>
      </w:r>
      <w:r>
        <w:t xml:space="preserve">As an HSSE consultancy, the Group practises what it teaches. Personnel must follow site rules and permit-to-work systems at client sites, comply with Brazilian NR-1 and NR-7 where applicable, stop unsafe work, and report incidents within 24 hours.</w:t>
      </w:r>
    </w:p>
    <w:p>
      <w:pPr>
        <w:numPr>
          <w:ilvl w:val="0"/>
          <w:numId w:val="1003"/>
        </w:numPr>
        <w:pStyle w:val="Compact"/>
      </w:pPr>
      <w:r>
        <w:rPr>
          <w:bCs/>
          <w:b/>
        </w:rPr>
        <w:t xml:space="preserve">Protect personal data.</w:t>
      </w:r>
      <w:r>
        <w:t xml:space="preserve"> </w:t>
      </w:r>
      <w:r>
        <w:t xml:space="preserve">Personal data is processed only for a lawful purpose under the UAE PDPL, Brazil’s LGPD and, for EU users, the GDPR. Health and body-composition data of SetFit users is sensitive: it may be accessed only by Personnel who need it, never exported to personal devices, and never shared with trainers or third parties without the user’s explicit consent. Questions go to privacy@settigroup.com.</w:t>
      </w:r>
    </w:p>
    <w:p>
      <w:pPr>
        <w:numPr>
          <w:ilvl w:val="0"/>
          <w:numId w:val="1003"/>
        </w:numPr>
        <w:pStyle w:val="Compact"/>
      </w:pPr>
      <w:r>
        <w:rPr>
          <w:bCs/>
          <w:b/>
        </w:rPr>
        <w:t xml:space="preserve">Protect confidential information.</w:t>
      </w:r>
      <w:r>
        <w:t xml:space="preserve"> </w:t>
      </w:r>
      <w:r>
        <w:t xml:space="preserve">Client reports, training materials, source code, trade prices, counterparty details and commercial terms are confidential during and after the engagement and may be disclosed only with written authorisation, using Group-approved systems.</w:t>
      </w:r>
    </w:p>
    <w:p>
      <w:pPr>
        <w:numPr>
          <w:ilvl w:val="0"/>
          <w:numId w:val="1003"/>
        </w:numPr>
        <w:pStyle w:val="Compact"/>
      </w:pPr>
      <w:r>
        <w:rPr>
          <w:bCs/>
          <w:b/>
        </w:rPr>
        <w:t xml:space="preserve">Sanctions and trade compliance.</w:t>
      </w:r>
      <w:r>
        <w:t xml:space="preserve"> </w:t>
      </w:r>
      <w:r>
        <w:t xml:space="preserve">No commodity indication, quotation or contract may be issued to a counterparty, vessel or port not screened under the Sanctions, Export Control and Trade Compliance Policy. Personnel must never structure a transaction to evade sanctions, export controls or anti-money-laundering law.</w:t>
      </w:r>
    </w:p>
    <w:p>
      <w:pPr>
        <w:numPr>
          <w:ilvl w:val="0"/>
          <w:numId w:val="1003"/>
        </w:numPr>
        <w:pStyle w:val="Compact"/>
      </w:pPr>
      <w:r>
        <w:rPr>
          <w:bCs/>
          <w:b/>
        </w:rPr>
        <w:t xml:space="preserve">Know our third parties.</w:t>
      </w:r>
      <w:r>
        <w:t xml:space="preserve"> </w:t>
      </w:r>
      <w:r>
        <w:t xml:space="preserve">Agents, intermediaries and counterparties must pass due diligence under the Third-Party Due Diligence and KYC Policy before any commitment is made on the Group’s behalf.</w:t>
      </w:r>
    </w:p>
    <w:p>
      <w:pPr>
        <w:numPr>
          <w:ilvl w:val="0"/>
          <w:numId w:val="1003"/>
        </w:numPr>
        <w:pStyle w:val="Compact"/>
      </w:pPr>
      <w:r>
        <w:rPr>
          <w:bCs/>
          <w:b/>
        </w:rPr>
        <w:t xml:space="preserve">Group assets and systems.</w:t>
      </w:r>
      <w:r>
        <w:t xml:space="preserve"> </w:t>
      </w:r>
      <w:r>
        <w:t xml:space="preserve">Laptops, accounts, licences and client data are for Group business. Personal use must be minimal and never compromise security. Passwords must not be shared.</w:t>
      </w:r>
    </w:p>
    <w:p>
      <w:pPr>
        <w:numPr>
          <w:ilvl w:val="0"/>
          <w:numId w:val="1003"/>
        </w:numPr>
        <w:pStyle w:val="Compact"/>
      </w:pPr>
      <w:r>
        <w:rPr>
          <w:bCs/>
          <w:b/>
        </w:rPr>
        <w:t xml:space="preserve">Human rights.</w:t>
      </w:r>
      <w:r>
        <w:t xml:space="preserve"> </w:t>
      </w:r>
      <w:r>
        <w:t xml:space="preserve">The Group respects the UN Guiding Principles on Business and Human Rights. Personnel must report any indication of forced labour, child labour or unsafe conditions in the supply chain or at client sites.</w:t>
      </w:r>
    </w:p>
    <w:p>
      <w:pPr>
        <w:numPr>
          <w:ilvl w:val="0"/>
          <w:numId w:val="1003"/>
        </w:numPr>
        <w:pStyle w:val="Compact"/>
      </w:pPr>
      <w:r>
        <w:rPr>
          <w:bCs/>
          <w:b/>
        </w:rPr>
        <w:t xml:space="preserve">Public communications.</w:t>
      </w:r>
      <w:r>
        <w:t xml:space="preserve"> </w:t>
      </w:r>
      <w:r>
        <w:t xml:space="preserve">Only the Founder &amp; Principal, or persons authorised in writing, may speak publicly for the Group. Personnel must not post confidential information, client identities or trade details on social media.</w:t>
      </w:r>
    </w:p>
    <w:p>
      <w:pPr>
        <w:numPr>
          <w:ilvl w:val="0"/>
          <w:numId w:val="1003"/>
        </w:numPr>
        <w:pStyle w:val="Compact"/>
      </w:pPr>
      <w:r>
        <w:rPr>
          <w:bCs/>
          <w:b/>
        </w:rPr>
        <w:t xml:space="preserve">Political and charitable contributions.</w:t>
      </w:r>
      <w:r>
        <w:t xml:space="preserve"> </w:t>
      </w:r>
      <w:r>
        <w:t xml:space="preserve">The Group makes no political contributions. Charitable donations require prior written approval of the Founder &amp; Principal and must never be linked to business.</w:t>
      </w:r>
    </w:p>
    <w:p>
      <w:pPr>
        <w:numPr>
          <w:ilvl w:val="0"/>
          <w:numId w:val="1003"/>
        </w:numPr>
        <w:pStyle w:val="Compact"/>
      </w:pPr>
      <w:r>
        <w:rPr>
          <w:bCs/>
          <w:b/>
        </w:rPr>
        <w:t xml:space="preserve">Speak up.</w:t>
      </w:r>
      <w:r>
        <w:t xml:space="preserve"> </w:t>
      </w:r>
      <w:r>
        <w:t xml:space="preserve">Personnel must report suspected breaches through the channels in the Speak-Up and Non-Retaliation Policy. Retaliation against anyone who reports in good faith is itself a breach of this Code.</w:t>
      </w:r>
    </w:p>
    <w:bookmarkEnd w:id="24"/>
    <w:bookmarkStart w:id="25" w:name="reporting-breaches-and-consequences"/>
    <w:p>
      <w:pPr>
        <w:pStyle w:val="Heading2"/>
      </w:pPr>
      <w:r>
        <w:t xml:space="preserve">Reporting, breaches and consequences</w:t>
      </w:r>
    </w:p>
    <w:p>
      <w:pPr>
        <w:pStyle w:val="FirstParagraph"/>
      </w:pPr>
      <w:r>
        <w:t xml:space="preserve">Concerns may be raised to the Founder &amp; Principal, to compliance@settigroup.com, to speakup@settigroup.com (anonymous reports accepted), or by post to the registered address of either entity. Reports are acknowledged within five business days.</w:t>
      </w:r>
    </w:p>
    <w:p>
      <w:pPr>
        <w:pStyle w:val="BodyText"/>
      </w:pPr>
      <w:r>
        <w:t xml:space="preserve">Depending on severity, consequences of a breach include a written warning, removal from an engagement, termination of employment or contract under the applicable labour law, recovery of losses and referral to the authorities. Business partners who breach the Code may have their contracts terminated without compensation.</w:t>
      </w:r>
    </w:p>
    <w:bookmarkEnd w:id="25"/>
    <w:bookmarkStart w:id="26" w:name="related-policies-and-references"/>
    <w:p>
      <w:pPr>
        <w:pStyle w:val="Heading2"/>
      </w:pPr>
      <w:r>
        <w:t xml:space="preserve">Related policies and references</w:t>
      </w:r>
    </w:p>
    <w:p>
      <w:pPr>
        <w:numPr>
          <w:ilvl w:val="0"/>
          <w:numId w:val="1004"/>
        </w:numPr>
        <w:pStyle w:val="Compact"/>
      </w:pPr>
      <w:r>
        <w:t xml:space="preserve">Anti-Bribery and Anti-Corruption Policy</w:t>
      </w:r>
    </w:p>
    <w:p>
      <w:pPr>
        <w:numPr>
          <w:ilvl w:val="0"/>
          <w:numId w:val="1004"/>
        </w:numPr>
        <w:pStyle w:val="Compact"/>
      </w:pPr>
      <w:r>
        <w:t xml:space="preserve">Conflicts of Interest, Gifts and Hospitality Policy</w:t>
      </w:r>
    </w:p>
    <w:p>
      <w:pPr>
        <w:numPr>
          <w:ilvl w:val="0"/>
          <w:numId w:val="1004"/>
        </w:numPr>
        <w:pStyle w:val="Compact"/>
      </w:pPr>
      <w:r>
        <w:t xml:space="preserve">Speak-Up and Non-Retaliation Policy</w:t>
      </w:r>
    </w:p>
    <w:p>
      <w:pPr>
        <w:numPr>
          <w:ilvl w:val="0"/>
          <w:numId w:val="1004"/>
        </w:numPr>
        <w:pStyle w:val="Compact"/>
      </w:pPr>
      <w:r>
        <w:t xml:space="preserve">Sanctions, Export Control and Trade Compliance Policy</w:t>
      </w:r>
    </w:p>
    <w:p>
      <w:pPr>
        <w:numPr>
          <w:ilvl w:val="0"/>
          <w:numId w:val="1004"/>
        </w:numPr>
        <w:pStyle w:val="Compact"/>
      </w:pPr>
      <w:r>
        <w:t xml:space="preserve">Third-Party Due Diligence and KYC Policy</w:t>
      </w:r>
    </w:p>
    <w:p>
      <w:pPr>
        <w:numPr>
          <w:ilvl w:val="0"/>
          <w:numId w:val="1004"/>
        </w:numPr>
        <w:pStyle w:val="Compact"/>
      </w:pPr>
      <w:r>
        <w:t xml:space="preserve">UAE Federal Decree-Laws No. 31/2021, 45/2021 (PDPL), 33/2021 (Labour Law), 10/2019 (AML/CFT)</w:t>
      </w:r>
    </w:p>
    <w:p>
      <w:pPr>
        <w:numPr>
          <w:ilvl w:val="0"/>
          <w:numId w:val="1004"/>
        </w:numPr>
        <w:pStyle w:val="Compact"/>
      </w:pPr>
      <w:r>
        <w:t xml:space="preserve">Brazil: Lei 12.846/2013 and Decreto 11.129/2022; Lei 13.709/2018 (LGPD); CLT; Lei 9.613/1998; NR-1 and NR-7</w:t>
      </w:r>
    </w:p>
    <w:p>
      <w:pPr>
        <w:numPr>
          <w:ilvl w:val="0"/>
          <w:numId w:val="1004"/>
        </w:numPr>
        <w:pStyle w:val="Compact"/>
      </w:pPr>
      <w:r>
        <w:t xml:space="preserve">UK Bribery Act 2010; US FCPA; EU GDPR; OECD Anti-Bribery Convention; UN Guiding Principles on Business and Human Rights; ILO core conventions</w:t>
      </w:r>
    </w:p>
    <w:p>
      <w:pPr>
        <w:numPr>
          <w:ilvl w:val="0"/>
          <w:numId w:val="1004"/>
        </w:numPr>
        <w:pStyle w:val="Compact"/>
      </w:pPr>
      <w:r>
        <w:t xml:space="preserve">ISO 45001, 14001, 9001, IEC 27001, 37001 (reference frameworks only; Setti Group is not certified)</w:t>
      </w:r>
    </w:p>
    <w:bookmarkEnd w:id="26"/>
    <w:bookmarkStart w:id="27" w:name="review-and-approval"/>
    <w:p>
      <w:pPr>
        <w:pStyle w:val="Heading2"/>
      </w:pPr>
      <w:r>
        <w:t xml:space="preserve">Review and approval</w:t>
      </w:r>
    </w:p>
    <w:p>
      <w:pPr>
        <w:pStyle w:val="FirstParagraph"/>
      </w:pPr>
      <w:r>
        <w:t xml:space="preserve">Version 1.0, effective 1 October 2026. Approved by the Founder &amp; Principal, Setti Group. Reviewed annually or on material change of law, and whenever the Group starts a new line of business.</w:t>
      </w:r>
    </w:p>
    <w:p>
      <w:pPr>
        <w:pStyle w:val="BlockText"/>
      </w:pPr>
      <w:r>
        <w:t xml:space="preserve">Draft prepared for legal review. Not effective until approved and signed.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Code of Conduct and Business Ethics</dc:title>
  <dc:creator/>
  <dc:language>en</dc:language>
  <cp:keywords/>
  <dcterms:created xsi:type="dcterms:W3CDTF">2026-09-26T10:52:21Z</dcterms:created>
  <dcterms:modified xsi:type="dcterms:W3CDTF">2026-09-26T10:52:21Z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dience">
    <vt:lpwstr>public</vt:lpwstr>
  </property>
  <property fmtid="{D5CDD505-2E9C-101B-9397-08002B2CF9AE}" pid="3" name="effective">
    <vt:lpwstr>2026-10-01</vt:lpwstr>
  </property>
  <property fmtid="{D5CDD505-2E9C-101B-9397-08002B2CF9AE}" pid="4" name="id">
    <vt:lpwstr>code-of-conduct</vt:lpwstr>
  </property>
  <property fmtid="{D5CDD505-2E9C-101B-9397-08002B2CF9AE}" pid="5" name="owner">
    <vt:lpwstr>Founder &amp; Principal, Setti Group</vt:lpwstr>
  </property>
  <property fmtid="{D5CDD505-2E9C-101B-9397-08002B2CF9AE}" pid="6" name="summary">
    <vt:lpwstr>Sets the standards of honesty, respect, safety and legal compliance that everyone who works for or with Setti Group must follow.</vt:lpwstr>
  </property>
  <property fmtid="{D5CDD505-2E9C-101B-9397-08002B2CF9AE}" pid="7" name="version">
    <vt:lpwstr>1.0</vt:lpwstr>
  </property>
</Properties>
</file>