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Política Anticorrupção e Antissuborno</w:t>
      </w:r>
    </w:p>
    <w:bookmarkStart w:id="20" w:name="finalidade-e-abrangência"/>
    <w:p>
      <w:pPr>
        <w:pStyle w:val="Heading2"/>
      </w:pPr>
      <w:r>
        <w:t xml:space="preserve">Finalidade e abrangência</w:t>
      </w:r>
    </w:p>
    <w:p>
      <w:pPr>
        <w:pStyle w:val="FirstParagraph"/>
      </w:pPr>
      <w:r>
        <w:t xml:space="preserve">Esta política estabelece a proibição de suborno e corrupção pela Setti Group e os controles que a tornam efetiva. Aplica-se à</w:t>
      </w:r>
      <w:r>
        <w:t xml:space="preserve"> </w:t>
      </w:r>
      <w:r>
        <w:rPr>
          <w:bCs/>
          <w:b/>
        </w:rPr>
        <w:t xml:space="preserve">Setti Group FZC</w:t>
      </w:r>
      <w:r>
        <w:t xml:space="preserve"> </w:t>
      </w:r>
      <w:r>
        <w:t xml:space="preserve">(Sharjah Publishing City Free Zone, EAU) e à</w:t>
      </w:r>
      <w:r>
        <w:t xml:space="preserve"> </w:t>
      </w:r>
      <w:r>
        <w:rPr>
          <w:bCs/>
          <w:b/>
        </w:rPr>
        <w:t xml:space="preserve">Setti Group Ltda</w:t>
      </w:r>
      <w:r>
        <w:t xml:space="preserve"> </w:t>
      </w:r>
      <w:r>
        <w:t xml:space="preserve">(CNPJ 69.086.322/0001-00, Fortaleza, Ceará, Brasil; nome fantasia SetFit), em conjunto</w:t>
      </w:r>
      <w:r>
        <w:t xml:space="preserve"> </w:t>
      </w:r>
      <w:r>
        <w:t xml:space="preserve">“</w:t>
      </w:r>
      <w:r>
        <w:t xml:space="preserve">Setti Group</w:t>
      </w:r>
      <w:r>
        <w:t xml:space="preserve">”</w:t>
      </w:r>
      <w:r>
        <w:t xml:space="preserve"> </w:t>
      </w:r>
      <w:r>
        <w:t xml:space="preserve">ou</w:t>
      </w:r>
      <w:r>
        <w:t xml:space="preserve"> </w:t>
      </w:r>
      <w:r>
        <w:t xml:space="preserve">“</w:t>
      </w:r>
      <w:r>
        <w:t xml:space="preserve">o Grupo</w:t>
      </w:r>
      <w:r>
        <w:t xml:space="preserve">”</w:t>
      </w:r>
      <w:r>
        <w:t xml:space="preserve">, a todos os Colaboradores e a todo agente, intermediário, fornecedor ou contraparte que atue pelo Grupo ou com ele.</w:t>
      </w:r>
    </w:p>
    <w:p>
      <w:pPr>
        <w:pStyle w:val="BodyText"/>
      </w:pPr>
      <w:r>
        <w:t xml:space="preserve">Abrange a consultoria e o treinamento em HSSE, as plataformas Arcas GRC e SetFit e a intermediação de commodities com a BS Agrícola Ltda. O negócio de commodities envolve contato frequente com autoridades portuárias, aduaneiras e de zonas francas e com intermediários, sendo o maior risco de suborno do Grupo.</w:t>
      </w:r>
    </w:p>
    <w:bookmarkEnd w:id="20"/>
    <w:bookmarkStart w:id="21" w:name="declaração-de-política"/>
    <w:p>
      <w:pPr>
        <w:pStyle w:val="Heading2"/>
      </w:pPr>
      <w:r>
        <w:t xml:space="preserve">Declaração de política</w:t>
      </w:r>
    </w:p>
    <w:p>
      <w:pPr>
        <w:pStyle w:val="FirstParagraph"/>
      </w:pPr>
      <w:r>
        <w:t xml:space="preserve">A Setti Group tem tolerância zero com suborno e corrupção. Não oferecemos, pagamos, solicitamos nem aceitamos propina de qualquer espécie, direta ou indiretamente, a agentes públicos ou pessoas privadas, em qualquer lugar do mundo. Não fazemos pagamentos de facilitação. Preferimos perder um contrato, uma carga ou uma licença a conquistá-los de forma indevida. O Grupo está vinculado ao Decreto-Lei Federal nº 31/2021 dos EAU, à Lei 12.846/2013 e ao Decreto 11.129/2022 do Brasil e, para condutas no exterior, ao UK Bribery Act 2010 e ao FCPA dos EUA.</w:t>
      </w:r>
    </w:p>
    <w:bookmarkEnd w:id="21"/>
    <w:bookmarkStart w:id="22" w:name="definições"/>
    <w:p>
      <w:pPr>
        <w:pStyle w:val="Heading2"/>
      </w:pPr>
      <w:r>
        <w:t xml:space="preserve">Definições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Suborno</w:t>
      </w:r>
      <w:r>
        <w:t xml:space="preserve">: qualquer vantagem financeira ou de outra natureza oferecida, prometida, dada, solicitada ou aceita para induzir ou recompensar o desempenho indevido de uma função, incluindo dinheiro e equivalentes, presentes, hospitalidade, viagens, empregos para parentes, doações, empréstimos, descontos e favores.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Pagamento de facilitação</w:t>
      </w:r>
      <w:r>
        <w:t xml:space="preserve">: pequeno pagamento não oficial a agente público para acelerar ou garantir um ato de rotina (desembaraço aduaneiro, atracação, inspeção, licenças, vistos). Pagamentos de facilitação são suborno para esta política.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Agente público</w:t>
      </w:r>
      <w:r>
        <w:t xml:space="preserve">: qualquer empregado ou dirigente de governo, município, empresa estatal, autoridade de zona franca, autoridade portuária, aduaneira ou marítima, agência de inspeção ou organização internacional pública, e qualquer dirigente ou candidato de partido político.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Agente ou intermediário</w:t>
      </w:r>
      <w:r>
        <w:t xml:space="preserve">: qualquer terceiro que atue pelo Grupo ou lhe apresente negócios, incluindo corretores, agentes comissionados, agentes de carga e despachantes aduaneiros.</w:t>
      </w:r>
    </w:p>
    <w:bookmarkEnd w:id="22"/>
    <w:bookmarkStart w:id="23" w:name="responsabilidades"/>
    <w:p>
      <w:pPr>
        <w:pStyle w:val="Heading2"/>
      </w:pPr>
      <w:r>
        <w:t xml:space="preserve">Responsabilidades</w:t>
      </w:r>
    </w:p>
    <w:p>
      <w:pPr>
        <w:numPr>
          <w:ilvl w:val="0"/>
          <w:numId w:val="1002"/>
        </w:numPr>
        <w:pStyle w:val="Compact"/>
      </w:pPr>
      <w:r>
        <w:t xml:space="preserve">O</w:t>
      </w:r>
      <w:r>
        <w:t xml:space="preserve"> </w:t>
      </w:r>
      <w:r>
        <w:rPr>
          <w:bCs/>
          <w:b/>
        </w:rPr>
        <w:t xml:space="preserve">Fundador e Diretor</w:t>
      </w:r>
      <w:r>
        <w:t xml:space="preserve"> </w:t>
      </w:r>
      <w:r>
        <w:t xml:space="preserve">é o responsável por esta política, aprova por escrito toda contratação de agente ou intermediário, revisa os acordos de comissão, mantém o registro de presentes e comunica suspeitas de corrupção às autoridades quando exigido.</w:t>
      </w:r>
    </w:p>
    <w:p>
      <w:pPr>
        <w:numPr>
          <w:ilvl w:val="0"/>
          <w:numId w:val="1002"/>
        </w:numPr>
        <w:pStyle w:val="Compact"/>
      </w:pPr>
      <w:r>
        <w:t xml:space="preserve">Os</w:t>
      </w:r>
      <w:r>
        <w:t xml:space="preserve"> </w:t>
      </w:r>
      <w:r>
        <w:rPr>
          <w:bCs/>
          <w:b/>
        </w:rPr>
        <w:t xml:space="preserve">Colaboradores</w:t>
      </w:r>
      <w:r>
        <w:t xml:space="preserve"> </w:t>
      </w:r>
      <w:r>
        <w:t xml:space="preserve">devem recusar e reportar imediatamente qualquer pedido ou oferta de suborno, registrar despesas com veracidade e concluir o treinamento antissuborno.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Agentes, intermediários e contrapartes</w:t>
      </w:r>
      <w:r>
        <w:t xml:space="preserve"> </w:t>
      </w:r>
      <w:r>
        <w:t xml:space="preserve">devem aceitar esta política por contrato, fornecer informações de due diligence e manter registros disponíveis para auditoria.</w:t>
      </w:r>
    </w:p>
    <w:p>
      <w:pPr>
        <w:numPr>
          <w:ilvl w:val="0"/>
          <w:numId w:val="1002"/>
        </w:numPr>
        <w:pStyle w:val="Compact"/>
      </w:pPr>
      <w:r>
        <w:t xml:space="preserve">O</w:t>
      </w:r>
      <w:r>
        <w:t xml:space="preserve"> </w:t>
      </w:r>
      <w:r>
        <w:rPr>
          <w:bCs/>
          <w:b/>
        </w:rPr>
        <w:t xml:space="preserve">contato de compliance</w:t>
      </w:r>
      <w:r>
        <w:t xml:space="preserve"> </w:t>
      </w:r>
      <w:r>
        <w:t xml:space="preserve">(compliance@settigroup.com) responde a dúvidas e registra exceções.</w:t>
      </w:r>
    </w:p>
    <w:bookmarkEnd w:id="23"/>
    <w:bookmarkStart w:id="24" w:name="requisitos"/>
    <w:p>
      <w:pPr>
        <w:pStyle w:val="Heading2"/>
      </w:pPr>
      <w:r>
        <w:t xml:space="preserve">Requisitos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Proibição absoluta.</w:t>
      </w:r>
      <w:r>
        <w:t xml:space="preserve"> </w:t>
      </w:r>
      <w:r>
        <w:t xml:space="preserve">Nenhum Colaborador ou terceiro que atue pelo Grupo pode oferecer, prometer, dar, solicitar ou aceitar suborno, independentemente do costume local ou do valor.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Pagamentos de facilitação são proibidos.</w:t>
      </w:r>
      <w:r>
        <w:t xml:space="preserve"> </w:t>
      </w:r>
      <w:r>
        <w:t xml:space="preserve">Nenhum pagamento pode ser feito a qualquer agente para acelerar desembaraço aduaneiro, acesso portuário, atracação, inspeção, licenciamento em zona franca, processamento de visto ou qualquer outro ato de rotina. Diante de uma exigência, o Colaborador deve recusar, declarar que a política do Grupo proíbe, pedir recibo oficial de qualquer taxa legítima e reportar a exigência ao Fundador e Diretor em até 24 horas.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Exceção por coação.</w:t>
      </w:r>
      <w:r>
        <w:t xml:space="preserve"> </w:t>
      </w:r>
      <w:r>
        <w:t xml:space="preserve">Pagamento feito exclusivamente para proteger vida, integridade física ou liberdade sob ameaça iminente não constitui violação, mas deve ser reportado em até 24 horas e registrado como tal.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Agentes públicos.</w:t>
      </w:r>
      <w:r>
        <w:t xml:space="preserve"> </w:t>
      </w:r>
      <w:r>
        <w:t xml:space="preserve">Nenhum presente, hospitalidade, viagem, doação ou emprego pode ser oferecido a agente público, ou a familiar, sem aprovação prévia e escrita do Fundador e Diretor. A aprovação é negada quando o agente tiver decisão pendente que afete o Grupo, seus clientes ou suas cargas. Lanches modestos durante reunião oficial são permitidos.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Agentes e intermediários no trade de commodities.</w:t>
      </w:r>
      <w:r>
        <w:t xml:space="preserve"> </w:t>
      </w:r>
      <w:r>
        <w:t xml:space="preserve">Antes de contratar qualquer agente, corretor ou apresentador, o Grupo deve concluir a due diligence da Política de Due Diligence de Terceiros e KYC; confirmar a justificativa comercial e a proporcionalidade da comissão; assinar contrato escrito com compromissos antissuborno e direitos de auditoria e rescisão; e pagar somente contra fatura, em conta bancária em nome do agente, no país onde o serviço é prestado ou onde o agente está sediado.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Sinais de alerta que interrompem a contratação.</w:t>
      </w:r>
      <w:r>
        <w:t xml:space="preserve"> </w:t>
      </w:r>
      <w:r>
        <w:t xml:space="preserve">O Colaborador deve escalar e não prosseguir quando um intermediário pedir pagamento em dinheiro, a terceiro ou em conta offshore; solicitar comissão anormalmente alta ou adiantamento urgente; for recomendado por agente público; recusar cláusulas antissuborno; não tiver capacidade de execução; ou tiver reputação de pagamentos indevidos.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Presentes e hospitalidade</w:t>
      </w:r>
      <w:r>
        <w:t xml:space="preserve"> </w:t>
      </w:r>
      <w:r>
        <w:t xml:space="preserve">dados ou recebidos devem seguir a Política de Conflitos de Interesse, Presentes e Hospitalidade, incluindo o limite de USD 100 / BRL 500 e o lançamento no registro de presentes.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Doações beneficentes e patrocínios</w:t>
      </w:r>
      <w:r>
        <w:t xml:space="preserve"> </w:t>
      </w:r>
      <w:r>
        <w:t xml:space="preserve">exigem aprovação prévia e escrita do Fundador e Diretor, devem destinar-se a organizações registradas, jamais beneficiar agente público ou decisor de cliente, e ser registrados com a justificativa.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Contribuições políticas.</w:t>
      </w:r>
      <w:r>
        <w:t xml:space="preserve"> </w:t>
      </w:r>
      <w:r>
        <w:t xml:space="preserve">O Grupo não faz nenhuma.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Livros e registros.</w:t>
      </w:r>
      <w:r>
        <w:t xml:space="preserve"> </w:t>
      </w:r>
      <w:r>
        <w:t xml:space="preserve">Todas as transações devem ser registradas com exatidão, completude e detalhe razoável, com faturas, contratos e recibos mantidos por pelo menos 10 anos. Nenhuma conta não declarada, fundo em espécie ou descrição falsa (</w:t>
      </w:r>
      <w:r>
        <w:t xml:space="preserve">“</w:t>
      </w:r>
      <w:r>
        <w:t xml:space="preserve">honorários de consultoria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diversos</w:t>
      </w:r>
      <w:r>
        <w:t xml:space="preserve">”</w:t>
      </w:r>
      <w:r>
        <w:t xml:space="preserve">) pode ocultar um pagamento. Pagamentos de comissão devem indicar a operação a que se referem.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Reembolsos de despesas</w:t>
      </w:r>
      <w:r>
        <w:t xml:space="preserve"> </w:t>
      </w:r>
      <w:r>
        <w:t xml:space="preserve">devem identificar o beneficiário de qualquer hospitalidade, sua organização e a finalidade comercial; reembolsos sem documentação não são pagos.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Suborno no setor privado.</w:t>
      </w:r>
      <w:r>
        <w:t xml:space="preserve"> </w:t>
      </w:r>
      <w:r>
        <w:t xml:space="preserve">A proibição aplica-se igualmente a pessoas privadas: sem comissões ocultas a compradores de clientes, sem propinas a gestores de HSE que selecionam fornecedores de treinamento, sem incentivos a treinadores do SetFit ou compradores do Arcas GRC.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Contratos</w:t>
      </w:r>
      <w:r>
        <w:t xml:space="preserve"> </w:t>
      </w:r>
      <w:r>
        <w:t xml:space="preserve">com clientes, fornecedores, agentes e contrapartes devem conter cláusulas antissuborno, que não podem ser removidas sem aprovação do Fundador e Diretor.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Treinamento.</w:t>
      </w:r>
      <w:r>
        <w:t xml:space="preserve"> </w:t>
      </w:r>
      <w:r>
        <w:t xml:space="preserve">Todos os Colaboradores concluem treinamento antissuborno ao ingressar e anualmente; Colaboradores do trade de commodities também treinam o relacionamento com autoridades portuárias, aduaneiras e de zonas francas.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Monitoramento.</w:t>
      </w:r>
      <w:r>
        <w:t xml:space="preserve"> </w:t>
      </w:r>
      <w:r>
        <w:t xml:space="preserve">O Fundador e Diretor revisa trimestralmente pagamentos de comissão, reembolsos de despesas e o registro de presentes, usando a ISO 37001 como referência.</w:t>
      </w:r>
    </w:p>
    <w:bookmarkEnd w:id="24"/>
    <w:bookmarkStart w:id="25" w:name="comunicação-violações-e-consequências"/>
    <w:p>
      <w:pPr>
        <w:pStyle w:val="Heading2"/>
      </w:pPr>
      <w:r>
        <w:t xml:space="preserve">Comunicação, violações e consequências</w:t>
      </w:r>
    </w:p>
    <w:p>
      <w:pPr>
        <w:pStyle w:val="FirstParagraph"/>
      </w:pPr>
      <w:r>
        <w:t xml:space="preserve">Qualquer pedido ou oferta de suborno deve ser reportado em até 24 horas ao Fundador e Diretor, por speakup@settigroup.com (denúncias anônimas são aceitas) ou por correio ao endereço registrado de qualquer das entidades. Quando o Fundador e Diretor estiver implicado, a Política de Canal de Denúncias e Não Retaliação prevê revisor externo independente.</w:t>
      </w:r>
    </w:p>
    <w:p>
      <w:pPr>
        <w:pStyle w:val="BodyText"/>
      </w:pPr>
      <w:r>
        <w:t xml:space="preserve">Suborno é crime para as pessoas físicas e para o Grupo. A violação acarreta medida disciplinar até demissão ou rescisão contratual, recuperação de qualquer benefício e comunicação às autoridades. Agentes e contrapartes que violem esta política têm seus contratos rescindidos e comissões perdidas.</w:t>
      </w:r>
    </w:p>
    <w:bookmarkEnd w:id="25"/>
    <w:bookmarkStart w:id="26" w:name="políticas-relacionadas-e-referências"/>
    <w:p>
      <w:pPr>
        <w:pStyle w:val="Heading2"/>
      </w:pPr>
      <w:r>
        <w:t xml:space="preserve">Políticas relacionadas e referências</w:t>
      </w:r>
    </w:p>
    <w:p>
      <w:pPr>
        <w:numPr>
          <w:ilvl w:val="0"/>
          <w:numId w:val="1004"/>
        </w:numPr>
        <w:pStyle w:val="Compact"/>
      </w:pPr>
      <w:r>
        <w:t xml:space="preserve">Código de Conduta e Ética Empresarial</w:t>
      </w:r>
    </w:p>
    <w:p>
      <w:pPr>
        <w:numPr>
          <w:ilvl w:val="0"/>
          <w:numId w:val="1004"/>
        </w:numPr>
        <w:pStyle w:val="Compact"/>
      </w:pPr>
      <w:r>
        <w:t xml:space="preserve">Política de Conflitos de Interesse, Presentes e Hospitalidade</w:t>
      </w:r>
    </w:p>
    <w:p>
      <w:pPr>
        <w:numPr>
          <w:ilvl w:val="0"/>
          <w:numId w:val="1004"/>
        </w:numPr>
        <w:pStyle w:val="Compact"/>
      </w:pPr>
      <w:r>
        <w:t xml:space="preserve">Política de Canal de Denúncias e Não Retaliação</w:t>
      </w:r>
    </w:p>
    <w:p>
      <w:pPr>
        <w:numPr>
          <w:ilvl w:val="0"/>
          <w:numId w:val="1004"/>
        </w:numPr>
        <w:pStyle w:val="Compact"/>
      </w:pPr>
      <w:r>
        <w:t xml:space="preserve">Política de Sanções, Controle de Exportação e Compliance Comercial</w:t>
      </w:r>
    </w:p>
    <w:p>
      <w:pPr>
        <w:numPr>
          <w:ilvl w:val="0"/>
          <w:numId w:val="1004"/>
        </w:numPr>
        <w:pStyle w:val="Compact"/>
      </w:pPr>
      <w:r>
        <w:t xml:space="preserve">Política de Due Diligence de Terceiros e KYC</w:t>
      </w:r>
    </w:p>
    <w:p>
      <w:pPr>
        <w:numPr>
          <w:ilvl w:val="0"/>
          <w:numId w:val="1004"/>
        </w:numPr>
        <w:pStyle w:val="Compact"/>
      </w:pPr>
      <w:r>
        <w:t xml:space="preserve">EAU: Decreto-Lei Federal nº 31/2021 (dispositivos sobre suborno); Brasil: Lei 12.846/2013 e Decreto 11.129/2022</w:t>
      </w:r>
    </w:p>
    <w:p>
      <w:pPr>
        <w:numPr>
          <w:ilvl w:val="0"/>
          <w:numId w:val="1004"/>
        </w:numPr>
        <w:pStyle w:val="Compact"/>
      </w:pPr>
      <w:r>
        <w:t xml:space="preserve">UK Bribery Act 2010; FCPA (EUA); Convenção Antissuborno da OCDE; ISO 37001 (apenas referência; não certificada)</w:t>
      </w:r>
    </w:p>
    <w:bookmarkEnd w:id="26"/>
    <w:bookmarkStart w:id="27" w:name="revisão-e-aprovação"/>
    <w:p>
      <w:pPr>
        <w:pStyle w:val="Heading2"/>
      </w:pPr>
      <w:r>
        <w:t xml:space="preserve">Revisão e aprovação</w:t>
      </w:r>
    </w:p>
    <w:p>
      <w:pPr>
        <w:pStyle w:val="FirstParagraph"/>
      </w:pPr>
      <w:r>
        <w:t xml:space="preserve">Versão 1.0, vigente a partir de 1º de outubro de 2026. Aprovada pelo Fundador e Diretor, Setti Group. Revisada anualmente ou em caso de alteração relevante da lei, e após qualquer incidente de suborno.</w:t>
      </w:r>
    </w:p>
    <w:p>
      <w:pPr>
        <w:pStyle w:val="BlockText"/>
      </w:pPr>
      <w:r>
        <w:t xml:space="preserve">Minuta preparada para revisão jurídica. Sem efeito até aprovação e assinatura.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Anticorrupção e Antissuborno</dc:title>
  <dc:creator/>
  <dc:language>pt-BR</dc:language>
  <cp:keywords/>
  <dcterms:created xsi:type="dcterms:W3CDTF">2026-09-26T10:52:20Z</dcterms:created>
  <dcterms:modified xsi:type="dcterms:W3CDTF">2026-09-26T10:52:20Z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public</vt:lpwstr>
  </property>
  <property fmtid="{D5CDD505-2E9C-101B-9397-08002B2CF9AE}" pid="3" name="effective">
    <vt:lpwstr>2026-10-01</vt:lpwstr>
  </property>
  <property fmtid="{D5CDD505-2E9C-101B-9397-08002B2CF9AE}" pid="4" name="id">
    <vt:lpwstr>anti-bribery</vt:lpwstr>
  </property>
  <property fmtid="{D5CDD505-2E9C-101B-9397-08002B2CF9AE}" pid="5" name="owner">
    <vt:lpwstr>Fundador e Diretor, Setti Group</vt:lpwstr>
  </property>
  <property fmtid="{D5CDD505-2E9C-101B-9397-08002B2CF9AE}" pid="6" name="summary">
    <vt:lpwstr>Proíbe suborno, pagamentos de facilitação e negociações corruptas com agentes públicos e partes privadas em todas as atividades da Setti Group, incluindo a intermediação de commodities.</vt:lpwstr>
  </property>
  <property fmtid="{D5CDD505-2E9C-101B-9397-08002B2CF9AE}" pid="7" name="version">
    <vt:lpwstr>1.0</vt:lpwstr>
  </property>
</Properties>
</file>